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059A9" w14:textId="77777777" w:rsidR="006148E8" w:rsidRDefault="006148E8" w:rsidP="006148E8">
      <w:pPr>
        <w:pStyle w:val="Titolo2"/>
      </w:pPr>
      <w:r>
        <w:t>COMMERCIO E SERVIZI: OASI NEI CENTRI URBANI – MATERIALE PER LA STAMPA</w:t>
      </w:r>
    </w:p>
    <w:p w14:paraId="7451203E" w14:textId="545C8980" w:rsidR="001763DB" w:rsidRPr="006148E8" w:rsidRDefault="001763DB" w:rsidP="006148E8">
      <w:pPr>
        <w:pStyle w:val="Titolo2"/>
      </w:pPr>
      <w:r w:rsidRPr="006148E8">
        <w:t>SINTESI DELLO STUDIO</w:t>
      </w:r>
    </w:p>
    <w:p w14:paraId="36B8B5E9" w14:textId="4117D029" w:rsidR="0086262D" w:rsidRPr="006148E8" w:rsidRDefault="000A6F39" w:rsidP="006148E8">
      <w:pPr>
        <w:spacing w:after="120" w:line="276" w:lineRule="auto"/>
        <w:jc w:val="both"/>
        <w:rPr>
          <w:rFonts w:cstheme="majorHAnsi"/>
          <w:color w:val="000000" w:themeColor="text1"/>
        </w:rPr>
      </w:pPr>
      <w:r w:rsidRPr="006148E8">
        <w:rPr>
          <w:color w:val="000000" w:themeColor="text1"/>
        </w:rPr>
        <w:t xml:space="preserve">I negozi si ritirano, la desertificazione commerciale avanza. Tra il 2014 ed il 2024 sono </w:t>
      </w:r>
      <w:r w:rsidR="00246281" w:rsidRPr="006148E8">
        <w:rPr>
          <w:color w:val="000000" w:themeColor="text1"/>
        </w:rPr>
        <w:t>sparite</w:t>
      </w:r>
      <w:r w:rsidRPr="006148E8">
        <w:rPr>
          <w:color w:val="000000" w:themeColor="text1"/>
        </w:rPr>
        <w:t xml:space="preserve"> dalle vie e dalle piazze italiane </w:t>
      </w:r>
      <w:r w:rsidR="001763DB" w:rsidRPr="006148E8">
        <w:rPr>
          <w:color w:val="000000" w:themeColor="text1"/>
        </w:rPr>
        <w:t>oltre 140mila</w:t>
      </w:r>
      <w:r w:rsidRPr="006148E8">
        <w:rPr>
          <w:color w:val="000000" w:themeColor="text1"/>
        </w:rPr>
        <w:t xml:space="preserve"> imprese del commercio</w:t>
      </w:r>
      <w:r w:rsidR="001763DB" w:rsidRPr="006148E8">
        <w:rPr>
          <w:color w:val="000000" w:themeColor="text1"/>
        </w:rPr>
        <w:t xml:space="preserve"> al dettaglio in sede fissa</w:t>
      </w:r>
      <w:r w:rsidRPr="006148E8">
        <w:rPr>
          <w:color w:val="000000" w:themeColor="text1"/>
        </w:rPr>
        <w:t xml:space="preserve">, di cui </w:t>
      </w:r>
      <w:r w:rsidR="006148E8" w:rsidRPr="006148E8">
        <w:rPr>
          <w:color w:val="000000" w:themeColor="text1"/>
        </w:rPr>
        <w:t>quasi 46.500</w:t>
      </w:r>
      <w:r w:rsidRPr="006148E8">
        <w:rPr>
          <w:color w:val="000000" w:themeColor="text1"/>
        </w:rPr>
        <w:t xml:space="preserve"> attività di vicinato “di base”, dai negozi alimentari alle edicole, dai bar ai distributori carburanti.</w:t>
      </w:r>
      <w:r w:rsidR="00A078D9" w:rsidRPr="006148E8">
        <w:rPr>
          <w:color w:val="000000" w:themeColor="text1"/>
        </w:rPr>
        <w:t xml:space="preserve"> Un’emorragia di imprese che rischia di lasciare senza accesso a servizi essenziali e beni primari una quota significativa della popolazione: già oggi </w:t>
      </w:r>
      <w:r w:rsidR="00A078D9" w:rsidRPr="006148E8">
        <w:rPr>
          <w:rFonts w:cstheme="majorHAnsi"/>
          <w:color w:val="000000" w:themeColor="text1"/>
        </w:rPr>
        <w:t xml:space="preserve">oltre 26 milioni di italiani vivono in comuni che hanno visto scomparire definitivamente dal proprio territorio una o più imprese di vicinato essenziali. </w:t>
      </w:r>
    </w:p>
    <w:p w14:paraId="68379EB6" w14:textId="4FA84A87" w:rsidR="0086262D" w:rsidRPr="006148E8" w:rsidRDefault="00A078D9" w:rsidP="006148E8">
      <w:pPr>
        <w:spacing w:after="120" w:line="276" w:lineRule="auto"/>
        <w:jc w:val="both"/>
        <w:rPr>
          <w:rFonts w:cstheme="majorHAnsi"/>
          <w:color w:val="000000" w:themeColor="text1"/>
        </w:rPr>
      </w:pPr>
      <w:r w:rsidRPr="006148E8">
        <w:rPr>
          <w:rFonts w:cstheme="majorHAnsi"/>
          <w:color w:val="000000" w:themeColor="text1"/>
        </w:rPr>
        <w:t xml:space="preserve">È quanto emerge dal dossier “Commercio e servizi: le oasi nei centri urbani”, presentato </w:t>
      </w:r>
      <w:r w:rsidR="0086262D" w:rsidRPr="006148E8">
        <w:rPr>
          <w:rFonts w:cstheme="majorHAnsi"/>
          <w:color w:val="000000" w:themeColor="text1"/>
        </w:rPr>
        <w:t>il 24 ottobre 2024</w:t>
      </w:r>
      <w:r w:rsidRPr="006148E8">
        <w:rPr>
          <w:rFonts w:cstheme="majorHAnsi"/>
          <w:color w:val="000000" w:themeColor="text1"/>
        </w:rPr>
        <w:t xml:space="preserve"> a Roma alla Presenza del Ministro per le Imprese ed il Made in </w:t>
      </w:r>
      <w:proofErr w:type="spellStart"/>
      <w:r w:rsidRPr="006148E8">
        <w:rPr>
          <w:rFonts w:cstheme="majorHAnsi"/>
          <w:color w:val="000000" w:themeColor="text1"/>
        </w:rPr>
        <w:t>Italy</w:t>
      </w:r>
      <w:proofErr w:type="spellEnd"/>
      <w:r w:rsidRPr="006148E8">
        <w:rPr>
          <w:rFonts w:cstheme="majorHAnsi"/>
          <w:color w:val="000000" w:themeColor="text1"/>
        </w:rPr>
        <w:t xml:space="preserve"> Adolfo Urso, e dedicato alla ‘desertificazione commerciale’, ovvero la progressiva riduzione o scomparsa delle attività commerciali dai territori, con </w:t>
      </w:r>
      <w:r w:rsidR="0086262D" w:rsidRPr="006148E8">
        <w:rPr>
          <w:rFonts w:cstheme="majorHAnsi"/>
          <w:color w:val="000000" w:themeColor="text1"/>
        </w:rPr>
        <w:t xml:space="preserve">conseguente </w:t>
      </w:r>
      <w:r w:rsidRPr="006148E8">
        <w:rPr>
          <w:rFonts w:cstheme="majorHAnsi"/>
          <w:color w:val="000000" w:themeColor="text1"/>
        </w:rPr>
        <w:t xml:space="preserve">impoverimento dell'offerta di beni e servizi per i residenti. </w:t>
      </w:r>
    </w:p>
    <w:p w14:paraId="64B7A67B" w14:textId="064002A6" w:rsidR="00A078D9" w:rsidRPr="006148E8" w:rsidRDefault="00A078D9" w:rsidP="006148E8">
      <w:pPr>
        <w:spacing w:after="120" w:line="276" w:lineRule="auto"/>
        <w:jc w:val="both"/>
        <w:rPr>
          <w:rFonts w:cstheme="majorHAnsi"/>
          <w:color w:val="000000" w:themeColor="text1"/>
        </w:rPr>
      </w:pPr>
      <w:r w:rsidRPr="006148E8">
        <w:rPr>
          <w:rFonts w:cstheme="majorHAnsi"/>
          <w:color w:val="000000" w:themeColor="text1"/>
        </w:rPr>
        <w:t xml:space="preserve">Per misurarne l’avanzata, Confesercenti ha analizzato la densità dell’offerta commerciale disponibile nei comuni italiani per dimensione – dai piccoli e piccolissimi borghi alle grandi metropoli, passando per città medie e medio grandi – e la variazione del numero di imprese attive su un periodo di dieci anni, con confronti tra 2014, 2019 e 2024, valutando anche i tassi di chiusura e di apertura delle attività commerciali. </w:t>
      </w:r>
    </w:p>
    <w:p w14:paraId="22BBAD01" w14:textId="0919EA1D" w:rsidR="00A078D9" w:rsidRPr="006148E8" w:rsidRDefault="00A078D9" w:rsidP="006148E8">
      <w:pPr>
        <w:spacing w:after="120" w:line="276" w:lineRule="auto"/>
        <w:jc w:val="both"/>
        <w:rPr>
          <w:rFonts w:cstheme="majorHAnsi"/>
          <w:color w:val="000000" w:themeColor="text1"/>
        </w:rPr>
      </w:pPr>
      <w:r w:rsidRPr="006148E8">
        <w:rPr>
          <w:rFonts w:cstheme="majorHAnsi"/>
          <w:b/>
          <w:bCs/>
          <w:color w:val="000000" w:themeColor="text1"/>
        </w:rPr>
        <w:t xml:space="preserve">Le attività di base. </w:t>
      </w:r>
      <w:r w:rsidR="0086262D" w:rsidRPr="006148E8">
        <w:rPr>
          <w:rFonts w:cstheme="majorHAnsi"/>
          <w:color w:val="000000" w:themeColor="text1"/>
        </w:rPr>
        <w:t>L’analisi si è focalizzata su un gruppo di imprese di vicinato di base che riteniamo essenziali per la qualità della vita: Minimarket, Elettrodomestici ed elettronica di consumo, Empori, Ortofrutta, Macellerie, Pescherie, Panetterie, Forni, Negozi di Bevande, Tabaccherie, Ferramenta, Librerie, Giornalai, Negozi di abbigliamento – nelle declinazioni di Confezioni per adulti, per Bambini, Biancheria, Calzature e accessori - Bar, Parrucchieri e Distributori carburanti.</w:t>
      </w:r>
    </w:p>
    <w:p w14:paraId="3B1D8A49" w14:textId="1E6B5265" w:rsidR="0086262D" w:rsidRPr="006148E8" w:rsidRDefault="0086262D" w:rsidP="006148E8">
      <w:pPr>
        <w:spacing w:after="120" w:line="276" w:lineRule="auto"/>
        <w:jc w:val="both"/>
        <w:rPr>
          <w:rFonts w:cstheme="majorHAnsi"/>
          <w:color w:val="000000" w:themeColor="text1"/>
        </w:rPr>
      </w:pPr>
      <w:r w:rsidRPr="006148E8">
        <w:rPr>
          <w:rFonts w:cstheme="majorHAnsi"/>
          <w:b/>
          <w:bCs/>
          <w:color w:val="000000" w:themeColor="text1"/>
        </w:rPr>
        <w:t xml:space="preserve">Il crollo della rete di vicinato. </w:t>
      </w:r>
      <w:r w:rsidRPr="006148E8">
        <w:rPr>
          <w:rFonts w:cstheme="majorHAnsi"/>
          <w:color w:val="000000" w:themeColor="text1"/>
        </w:rPr>
        <w:t xml:space="preserve">L’analisi ci restituisce la fotografia di un’Italia già molto desertificata. Tra il 2014 e il 2024 oltre 26 milioni di residenti hanno visto sparire dal proprio comune una o più attività di base, dagli alimentari alle edicole, dai bar ai distributori carburanti. Complessivamente, tra il 2014 ed il 2024 sono sparite </w:t>
      </w:r>
      <w:r w:rsidR="00F335F1">
        <w:rPr>
          <w:rFonts w:cstheme="majorHAnsi"/>
          <w:color w:val="000000" w:themeColor="text1"/>
        </w:rPr>
        <w:t>quasi</w:t>
      </w:r>
      <w:r w:rsidR="00F335F1" w:rsidRPr="006148E8">
        <w:rPr>
          <w:rFonts w:cstheme="majorHAnsi"/>
          <w:color w:val="000000" w:themeColor="text1"/>
        </w:rPr>
        <w:t xml:space="preserve"> </w:t>
      </w:r>
      <w:r w:rsidR="00F335F1">
        <w:rPr>
          <w:rFonts w:cstheme="majorHAnsi"/>
          <w:color w:val="000000" w:themeColor="text1"/>
        </w:rPr>
        <w:t xml:space="preserve">46.500 </w:t>
      </w:r>
      <w:r w:rsidRPr="006148E8">
        <w:rPr>
          <w:rFonts w:cstheme="majorHAnsi"/>
          <w:color w:val="000000" w:themeColor="text1"/>
        </w:rPr>
        <w:t xml:space="preserve">imprese di vicinato di base, al ritmo di </w:t>
      </w:r>
      <w:r w:rsidR="006148E8" w:rsidRPr="006148E8">
        <w:rPr>
          <w:rFonts w:cstheme="majorHAnsi"/>
          <w:color w:val="000000" w:themeColor="text1"/>
        </w:rPr>
        <w:t>quasi 13</w:t>
      </w:r>
      <w:r w:rsidRPr="006148E8">
        <w:rPr>
          <w:rFonts w:cstheme="majorHAnsi"/>
          <w:color w:val="000000" w:themeColor="text1"/>
        </w:rPr>
        <w:t xml:space="preserve"> al giorn</w:t>
      </w:r>
      <w:r w:rsidR="00CC226D" w:rsidRPr="006148E8">
        <w:rPr>
          <w:rFonts w:cstheme="majorHAnsi"/>
          <w:color w:val="000000" w:themeColor="text1"/>
        </w:rPr>
        <w:t>o</w:t>
      </w:r>
      <w:r w:rsidR="00246281" w:rsidRPr="006148E8">
        <w:rPr>
          <w:rFonts w:cstheme="majorHAnsi"/>
          <w:color w:val="000000" w:themeColor="text1"/>
        </w:rPr>
        <w:t>.</w:t>
      </w:r>
    </w:p>
    <w:p w14:paraId="5882E254" w14:textId="16F6364E" w:rsidR="00394C7E" w:rsidRPr="006148E8" w:rsidRDefault="00394C7E" w:rsidP="006148E8">
      <w:pPr>
        <w:spacing w:line="276" w:lineRule="auto"/>
        <w:jc w:val="both"/>
        <w:rPr>
          <w:rFonts w:cstheme="majorHAnsi"/>
          <w:color w:val="000000" w:themeColor="text1"/>
        </w:rPr>
      </w:pPr>
      <w:r w:rsidRPr="006148E8">
        <w:rPr>
          <w:rFonts w:cstheme="majorHAnsi"/>
          <w:color w:val="000000" w:themeColor="text1"/>
        </w:rPr>
        <w:t>Sono stati 5.653 i comuni interessati dal processo di desertificazione, principalmente comuni piccolissimi (meno di 5mila abitanti) e piccoli (tra 5 e 15mila residenti). Tra i comuni colpiti, 2.620 hanno registrato la sparizione di una sola attività di base, 1.784 di due e 1.249 di tre o più. Milioni di residenti si trovano dunque costretti a percorrere chilometri per soddisfare bisogni primari e acquistare beni di uso quotidiano.</w:t>
      </w:r>
    </w:p>
    <w:p w14:paraId="30319884" w14:textId="77777777" w:rsidR="00394C7E" w:rsidRPr="006148E8" w:rsidRDefault="00394C7E" w:rsidP="006148E8">
      <w:pPr>
        <w:spacing w:line="276" w:lineRule="auto"/>
        <w:jc w:val="both"/>
        <w:rPr>
          <w:rFonts w:cstheme="majorHAnsi"/>
          <w:color w:val="000000" w:themeColor="text1"/>
        </w:rPr>
      </w:pPr>
      <w:r w:rsidRPr="006148E8">
        <w:rPr>
          <w:rFonts w:cstheme="majorHAnsi"/>
          <w:noProof/>
          <w:color w:val="000000" w:themeColor="text1"/>
        </w:rPr>
        <w:lastRenderedPageBreak/>
        <w:drawing>
          <wp:inline distT="0" distB="0" distL="0" distR="0" wp14:anchorId="2C80D26B" wp14:editId="348F4D08">
            <wp:extent cx="5768352" cy="3665220"/>
            <wp:effectExtent l="0" t="0" r="3810" b="0"/>
            <wp:docPr id="1537776256" name="Immagine 1" descr="Immagine che contiene testo, schermata, diagramm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776256" name="Immagine 1" descr="Immagine che contiene testo, schermata, diagramma, Diagramma&#10;&#10;Descrizione generata automaticamente"/>
                    <pic:cNvPicPr/>
                  </pic:nvPicPr>
                  <pic:blipFill>
                    <a:blip r:embed="rId5"/>
                    <a:stretch>
                      <a:fillRect/>
                    </a:stretch>
                  </pic:blipFill>
                  <pic:spPr>
                    <a:xfrm>
                      <a:off x="0" y="0"/>
                      <a:ext cx="5773977" cy="3668794"/>
                    </a:xfrm>
                    <a:prstGeom prst="rect">
                      <a:avLst/>
                    </a:prstGeom>
                  </pic:spPr>
                </pic:pic>
              </a:graphicData>
            </a:graphic>
          </wp:inline>
        </w:drawing>
      </w:r>
    </w:p>
    <w:tbl>
      <w:tblPr>
        <w:tblW w:w="3580" w:type="dxa"/>
        <w:tblCellMar>
          <w:left w:w="70" w:type="dxa"/>
          <w:right w:w="70" w:type="dxa"/>
        </w:tblCellMar>
        <w:tblLook w:val="04A0" w:firstRow="1" w:lastRow="0" w:firstColumn="1" w:lastColumn="0" w:noHBand="0" w:noVBand="1"/>
      </w:tblPr>
      <w:tblGrid>
        <w:gridCol w:w="1519"/>
        <w:gridCol w:w="1004"/>
        <w:gridCol w:w="1487"/>
      </w:tblGrid>
      <w:tr w:rsidR="00394C7E" w:rsidRPr="006148E8" w14:paraId="4D0FE0BB" w14:textId="77777777" w:rsidTr="00B6663F">
        <w:trPr>
          <w:trHeight w:val="1060"/>
        </w:trPr>
        <w:tc>
          <w:tcPr>
            <w:tcW w:w="1240" w:type="dxa"/>
            <w:tcBorders>
              <w:top w:val="single" w:sz="8" w:space="0" w:color="auto"/>
              <w:left w:val="single" w:sz="8" w:space="0" w:color="auto"/>
              <w:bottom w:val="single" w:sz="8" w:space="0" w:color="auto"/>
              <w:right w:val="nil"/>
            </w:tcBorders>
            <w:shd w:val="clear" w:color="auto" w:fill="auto"/>
            <w:vAlign w:val="center"/>
            <w:hideMark/>
          </w:tcPr>
          <w:p w14:paraId="79B4DE49" w14:textId="77777777" w:rsidR="00394C7E" w:rsidRPr="006148E8" w:rsidRDefault="00394C7E" w:rsidP="006148E8">
            <w:pPr>
              <w:spacing w:line="276" w:lineRule="auto"/>
              <w:jc w:val="center"/>
              <w:rPr>
                <w:rFonts w:eastAsia="Times New Roman" w:cstheme="majorHAnsi"/>
                <w:b/>
                <w:bCs/>
                <w:color w:val="000000" w:themeColor="text1"/>
                <w:lang w:eastAsia="it-IT"/>
              </w:rPr>
            </w:pPr>
            <w:r w:rsidRPr="006148E8">
              <w:rPr>
                <w:rFonts w:eastAsia="Times New Roman" w:cstheme="majorHAnsi"/>
                <w:b/>
                <w:bCs/>
                <w:color w:val="000000" w:themeColor="text1"/>
                <w:lang w:eastAsia="it-IT"/>
              </w:rPr>
              <w:t>Numero di attività commerciali di base perse</w:t>
            </w:r>
          </w:p>
        </w:tc>
        <w:tc>
          <w:tcPr>
            <w:tcW w:w="960" w:type="dxa"/>
            <w:tcBorders>
              <w:top w:val="single" w:sz="8" w:space="0" w:color="auto"/>
              <w:left w:val="nil"/>
              <w:bottom w:val="single" w:sz="8" w:space="0" w:color="auto"/>
              <w:right w:val="nil"/>
            </w:tcBorders>
            <w:shd w:val="clear" w:color="auto" w:fill="auto"/>
            <w:vAlign w:val="center"/>
            <w:hideMark/>
          </w:tcPr>
          <w:p w14:paraId="2AC08AA9" w14:textId="77777777" w:rsidR="00394C7E" w:rsidRPr="006148E8" w:rsidRDefault="00394C7E" w:rsidP="006148E8">
            <w:pPr>
              <w:spacing w:line="276" w:lineRule="auto"/>
              <w:jc w:val="center"/>
              <w:rPr>
                <w:rFonts w:eastAsia="Times New Roman" w:cstheme="majorHAnsi"/>
                <w:b/>
                <w:bCs/>
                <w:color w:val="000000" w:themeColor="text1"/>
                <w:lang w:eastAsia="it-IT"/>
              </w:rPr>
            </w:pPr>
            <w:r w:rsidRPr="006148E8">
              <w:rPr>
                <w:rFonts w:eastAsia="Times New Roman" w:cstheme="majorHAnsi"/>
                <w:b/>
                <w:bCs/>
                <w:color w:val="000000" w:themeColor="text1"/>
                <w:lang w:eastAsia="it-IT"/>
              </w:rPr>
              <w:t>Comuni</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14:paraId="37943DB4" w14:textId="77777777" w:rsidR="00394C7E" w:rsidRPr="006148E8" w:rsidRDefault="00394C7E" w:rsidP="006148E8">
            <w:pPr>
              <w:spacing w:line="276" w:lineRule="auto"/>
              <w:jc w:val="center"/>
              <w:rPr>
                <w:rFonts w:eastAsia="Times New Roman" w:cstheme="majorHAnsi"/>
                <w:b/>
                <w:bCs/>
                <w:color w:val="000000" w:themeColor="text1"/>
                <w:lang w:eastAsia="it-IT"/>
              </w:rPr>
            </w:pPr>
            <w:r w:rsidRPr="006148E8">
              <w:rPr>
                <w:rFonts w:eastAsia="Times New Roman" w:cstheme="majorHAnsi"/>
                <w:b/>
                <w:bCs/>
                <w:color w:val="000000" w:themeColor="text1"/>
                <w:lang w:eastAsia="it-IT"/>
              </w:rPr>
              <w:t>Popolazione coinvolta</w:t>
            </w:r>
          </w:p>
        </w:tc>
      </w:tr>
      <w:tr w:rsidR="00394C7E" w:rsidRPr="006148E8" w14:paraId="25283772" w14:textId="77777777" w:rsidTr="00B6663F">
        <w:trPr>
          <w:trHeight w:val="240"/>
        </w:trPr>
        <w:tc>
          <w:tcPr>
            <w:tcW w:w="1240" w:type="dxa"/>
            <w:tcBorders>
              <w:top w:val="nil"/>
              <w:left w:val="single" w:sz="8" w:space="0" w:color="auto"/>
              <w:bottom w:val="nil"/>
              <w:right w:val="nil"/>
            </w:tcBorders>
            <w:shd w:val="clear" w:color="auto" w:fill="auto"/>
            <w:noWrap/>
            <w:vAlign w:val="bottom"/>
            <w:hideMark/>
          </w:tcPr>
          <w:p w14:paraId="752D4491"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0</w:t>
            </w:r>
          </w:p>
        </w:tc>
        <w:tc>
          <w:tcPr>
            <w:tcW w:w="960" w:type="dxa"/>
            <w:tcBorders>
              <w:top w:val="nil"/>
              <w:left w:val="nil"/>
              <w:bottom w:val="nil"/>
              <w:right w:val="nil"/>
            </w:tcBorders>
            <w:shd w:val="clear" w:color="auto" w:fill="auto"/>
            <w:noWrap/>
            <w:vAlign w:val="bottom"/>
            <w:hideMark/>
          </w:tcPr>
          <w:p w14:paraId="64AC5853"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2.243</w:t>
            </w:r>
          </w:p>
        </w:tc>
        <w:tc>
          <w:tcPr>
            <w:tcW w:w="1380" w:type="dxa"/>
            <w:tcBorders>
              <w:top w:val="nil"/>
              <w:left w:val="nil"/>
              <w:bottom w:val="nil"/>
              <w:right w:val="single" w:sz="8" w:space="0" w:color="auto"/>
            </w:tcBorders>
            <w:shd w:val="clear" w:color="auto" w:fill="auto"/>
            <w:noWrap/>
            <w:vAlign w:val="bottom"/>
            <w:hideMark/>
          </w:tcPr>
          <w:p w14:paraId="42C54656"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32.881.397</w:t>
            </w:r>
          </w:p>
        </w:tc>
      </w:tr>
      <w:tr w:rsidR="00394C7E" w:rsidRPr="006148E8" w14:paraId="4A3FBDBA" w14:textId="77777777" w:rsidTr="00B6663F">
        <w:trPr>
          <w:trHeight w:val="240"/>
        </w:trPr>
        <w:tc>
          <w:tcPr>
            <w:tcW w:w="1240" w:type="dxa"/>
            <w:tcBorders>
              <w:top w:val="nil"/>
              <w:left w:val="single" w:sz="8" w:space="0" w:color="auto"/>
              <w:bottom w:val="nil"/>
              <w:right w:val="nil"/>
            </w:tcBorders>
            <w:shd w:val="clear" w:color="auto" w:fill="auto"/>
            <w:noWrap/>
            <w:vAlign w:val="bottom"/>
            <w:hideMark/>
          </w:tcPr>
          <w:p w14:paraId="12E3E0F7"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1</w:t>
            </w:r>
          </w:p>
        </w:tc>
        <w:tc>
          <w:tcPr>
            <w:tcW w:w="960" w:type="dxa"/>
            <w:tcBorders>
              <w:top w:val="nil"/>
              <w:left w:val="nil"/>
              <w:bottom w:val="nil"/>
              <w:right w:val="nil"/>
            </w:tcBorders>
            <w:shd w:val="clear" w:color="auto" w:fill="auto"/>
            <w:noWrap/>
            <w:vAlign w:val="bottom"/>
            <w:hideMark/>
          </w:tcPr>
          <w:p w14:paraId="4B3A2152"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2.620</w:t>
            </w:r>
          </w:p>
        </w:tc>
        <w:tc>
          <w:tcPr>
            <w:tcW w:w="1380" w:type="dxa"/>
            <w:tcBorders>
              <w:top w:val="nil"/>
              <w:left w:val="nil"/>
              <w:bottom w:val="nil"/>
              <w:right w:val="single" w:sz="8" w:space="0" w:color="auto"/>
            </w:tcBorders>
            <w:shd w:val="clear" w:color="auto" w:fill="auto"/>
            <w:noWrap/>
            <w:vAlign w:val="bottom"/>
            <w:hideMark/>
          </w:tcPr>
          <w:p w14:paraId="101D2C78"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13.666.134</w:t>
            </w:r>
          </w:p>
        </w:tc>
      </w:tr>
      <w:tr w:rsidR="00394C7E" w:rsidRPr="006148E8" w14:paraId="69D4B145" w14:textId="77777777" w:rsidTr="00B6663F">
        <w:trPr>
          <w:trHeight w:val="240"/>
        </w:trPr>
        <w:tc>
          <w:tcPr>
            <w:tcW w:w="1240" w:type="dxa"/>
            <w:tcBorders>
              <w:top w:val="nil"/>
              <w:left w:val="single" w:sz="8" w:space="0" w:color="auto"/>
              <w:bottom w:val="nil"/>
              <w:right w:val="nil"/>
            </w:tcBorders>
            <w:shd w:val="clear" w:color="auto" w:fill="auto"/>
            <w:noWrap/>
            <w:vAlign w:val="bottom"/>
            <w:hideMark/>
          </w:tcPr>
          <w:p w14:paraId="0A5E6303"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2</w:t>
            </w:r>
          </w:p>
        </w:tc>
        <w:tc>
          <w:tcPr>
            <w:tcW w:w="960" w:type="dxa"/>
            <w:tcBorders>
              <w:top w:val="nil"/>
              <w:left w:val="nil"/>
              <w:bottom w:val="nil"/>
              <w:right w:val="nil"/>
            </w:tcBorders>
            <w:shd w:val="clear" w:color="auto" w:fill="auto"/>
            <w:noWrap/>
            <w:vAlign w:val="bottom"/>
            <w:hideMark/>
          </w:tcPr>
          <w:p w14:paraId="620926C8"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1.784</w:t>
            </w:r>
          </w:p>
        </w:tc>
        <w:tc>
          <w:tcPr>
            <w:tcW w:w="1380" w:type="dxa"/>
            <w:tcBorders>
              <w:top w:val="nil"/>
              <w:left w:val="nil"/>
              <w:bottom w:val="nil"/>
              <w:right w:val="single" w:sz="8" w:space="0" w:color="auto"/>
            </w:tcBorders>
            <w:shd w:val="clear" w:color="auto" w:fill="auto"/>
            <w:noWrap/>
            <w:vAlign w:val="bottom"/>
            <w:hideMark/>
          </w:tcPr>
          <w:p w14:paraId="1421A572"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7.338.473</w:t>
            </w:r>
          </w:p>
        </w:tc>
      </w:tr>
      <w:tr w:rsidR="00394C7E" w:rsidRPr="006148E8" w14:paraId="320A0E68" w14:textId="77777777" w:rsidTr="00B6663F">
        <w:trPr>
          <w:trHeight w:val="240"/>
        </w:trPr>
        <w:tc>
          <w:tcPr>
            <w:tcW w:w="1240" w:type="dxa"/>
            <w:tcBorders>
              <w:top w:val="nil"/>
              <w:left w:val="single" w:sz="8" w:space="0" w:color="auto"/>
              <w:bottom w:val="nil"/>
              <w:right w:val="nil"/>
            </w:tcBorders>
            <w:shd w:val="clear" w:color="auto" w:fill="auto"/>
            <w:noWrap/>
            <w:vAlign w:val="bottom"/>
            <w:hideMark/>
          </w:tcPr>
          <w:p w14:paraId="1FA1A060"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3</w:t>
            </w:r>
          </w:p>
        </w:tc>
        <w:tc>
          <w:tcPr>
            <w:tcW w:w="960" w:type="dxa"/>
            <w:tcBorders>
              <w:top w:val="nil"/>
              <w:left w:val="nil"/>
              <w:bottom w:val="nil"/>
              <w:right w:val="nil"/>
            </w:tcBorders>
            <w:shd w:val="clear" w:color="auto" w:fill="auto"/>
            <w:noWrap/>
            <w:vAlign w:val="bottom"/>
            <w:hideMark/>
          </w:tcPr>
          <w:p w14:paraId="16924377"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840</w:t>
            </w:r>
          </w:p>
        </w:tc>
        <w:tc>
          <w:tcPr>
            <w:tcW w:w="1380" w:type="dxa"/>
            <w:tcBorders>
              <w:top w:val="nil"/>
              <w:left w:val="nil"/>
              <w:bottom w:val="nil"/>
              <w:right w:val="single" w:sz="8" w:space="0" w:color="auto"/>
            </w:tcBorders>
            <w:shd w:val="clear" w:color="auto" w:fill="auto"/>
            <w:noWrap/>
            <w:vAlign w:val="bottom"/>
            <w:hideMark/>
          </w:tcPr>
          <w:p w14:paraId="0432F5BD"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3.433.644</w:t>
            </w:r>
          </w:p>
        </w:tc>
      </w:tr>
      <w:tr w:rsidR="00394C7E" w:rsidRPr="006148E8" w14:paraId="4434D211" w14:textId="77777777" w:rsidTr="00B6663F">
        <w:trPr>
          <w:trHeight w:val="240"/>
        </w:trPr>
        <w:tc>
          <w:tcPr>
            <w:tcW w:w="1240" w:type="dxa"/>
            <w:tcBorders>
              <w:top w:val="nil"/>
              <w:left w:val="single" w:sz="8" w:space="0" w:color="auto"/>
              <w:bottom w:val="nil"/>
              <w:right w:val="nil"/>
            </w:tcBorders>
            <w:shd w:val="clear" w:color="auto" w:fill="auto"/>
            <w:noWrap/>
            <w:vAlign w:val="bottom"/>
            <w:hideMark/>
          </w:tcPr>
          <w:p w14:paraId="46D76ED8"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4</w:t>
            </w:r>
          </w:p>
        </w:tc>
        <w:tc>
          <w:tcPr>
            <w:tcW w:w="960" w:type="dxa"/>
            <w:tcBorders>
              <w:top w:val="nil"/>
              <w:left w:val="nil"/>
              <w:bottom w:val="nil"/>
              <w:right w:val="nil"/>
            </w:tcBorders>
            <w:shd w:val="clear" w:color="auto" w:fill="auto"/>
            <w:noWrap/>
            <w:vAlign w:val="bottom"/>
            <w:hideMark/>
          </w:tcPr>
          <w:p w14:paraId="51C41DBF"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304</w:t>
            </w:r>
          </w:p>
        </w:tc>
        <w:tc>
          <w:tcPr>
            <w:tcW w:w="1380" w:type="dxa"/>
            <w:tcBorders>
              <w:top w:val="nil"/>
              <w:left w:val="nil"/>
              <w:bottom w:val="nil"/>
              <w:right w:val="single" w:sz="8" w:space="0" w:color="auto"/>
            </w:tcBorders>
            <w:shd w:val="clear" w:color="auto" w:fill="auto"/>
            <w:noWrap/>
            <w:vAlign w:val="bottom"/>
            <w:hideMark/>
          </w:tcPr>
          <w:p w14:paraId="6BB61AF3"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1.233.364</w:t>
            </w:r>
          </w:p>
        </w:tc>
      </w:tr>
      <w:tr w:rsidR="00394C7E" w:rsidRPr="006148E8" w14:paraId="4FBCDBE6" w14:textId="77777777" w:rsidTr="00B6663F">
        <w:trPr>
          <w:trHeight w:val="240"/>
        </w:trPr>
        <w:tc>
          <w:tcPr>
            <w:tcW w:w="1240" w:type="dxa"/>
            <w:tcBorders>
              <w:top w:val="nil"/>
              <w:left w:val="single" w:sz="8" w:space="0" w:color="auto"/>
              <w:bottom w:val="nil"/>
              <w:right w:val="nil"/>
            </w:tcBorders>
            <w:shd w:val="clear" w:color="auto" w:fill="auto"/>
            <w:noWrap/>
            <w:vAlign w:val="bottom"/>
            <w:hideMark/>
          </w:tcPr>
          <w:p w14:paraId="396B9E55"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5</w:t>
            </w:r>
          </w:p>
        </w:tc>
        <w:tc>
          <w:tcPr>
            <w:tcW w:w="960" w:type="dxa"/>
            <w:tcBorders>
              <w:top w:val="nil"/>
              <w:left w:val="nil"/>
              <w:bottom w:val="nil"/>
              <w:right w:val="nil"/>
            </w:tcBorders>
            <w:shd w:val="clear" w:color="auto" w:fill="auto"/>
            <w:noWrap/>
            <w:vAlign w:val="bottom"/>
            <w:hideMark/>
          </w:tcPr>
          <w:p w14:paraId="70A5F9A5"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79</w:t>
            </w:r>
          </w:p>
        </w:tc>
        <w:tc>
          <w:tcPr>
            <w:tcW w:w="1380" w:type="dxa"/>
            <w:tcBorders>
              <w:top w:val="nil"/>
              <w:left w:val="nil"/>
              <w:bottom w:val="nil"/>
              <w:right w:val="single" w:sz="8" w:space="0" w:color="auto"/>
            </w:tcBorders>
            <w:shd w:val="clear" w:color="auto" w:fill="auto"/>
            <w:noWrap/>
            <w:vAlign w:val="bottom"/>
            <w:hideMark/>
          </w:tcPr>
          <w:p w14:paraId="2A6715D2"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324.421</w:t>
            </w:r>
          </w:p>
        </w:tc>
      </w:tr>
      <w:tr w:rsidR="00394C7E" w:rsidRPr="006148E8" w14:paraId="45444740" w14:textId="77777777" w:rsidTr="00B6663F">
        <w:trPr>
          <w:trHeight w:val="240"/>
        </w:trPr>
        <w:tc>
          <w:tcPr>
            <w:tcW w:w="1240" w:type="dxa"/>
            <w:tcBorders>
              <w:top w:val="nil"/>
              <w:left w:val="single" w:sz="8" w:space="0" w:color="auto"/>
              <w:bottom w:val="nil"/>
              <w:right w:val="nil"/>
            </w:tcBorders>
            <w:shd w:val="clear" w:color="auto" w:fill="auto"/>
            <w:noWrap/>
            <w:vAlign w:val="bottom"/>
            <w:hideMark/>
          </w:tcPr>
          <w:p w14:paraId="1B4CF2C1"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6</w:t>
            </w:r>
          </w:p>
        </w:tc>
        <w:tc>
          <w:tcPr>
            <w:tcW w:w="960" w:type="dxa"/>
            <w:tcBorders>
              <w:top w:val="nil"/>
              <w:left w:val="nil"/>
              <w:bottom w:val="nil"/>
              <w:right w:val="nil"/>
            </w:tcBorders>
            <w:shd w:val="clear" w:color="auto" w:fill="auto"/>
            <w:noWrap/>
            <w:vAlign w:val="bottom"/>
            <w:hideMark/>
          </w:tcPr>
          <w:p w14:paraId="720994AD"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19</w:t>
            </w:r>
          </w:p>
        </w:tc>
        <w:tc>
          <w:tcPr>
            <w:tcW w:w="1380" w:type="dxa"/>
            <w:tcBorders>
              <w:top w:val="nil"/>
              <w:left w:val="nil"/>
              <w:bottom w:val="nil"/>
              <w:right w:val="single" w:sz="8" w:space="0" w:color="auto"/>
            </w:tcBorders>
            <w:shd w:val="clear" w:color="auto" w:fill="auto"/>
            <w:noWrap/>
            <w:vAlign w:val="bottom"/>
            <w:hideMark/>
          </w:tcPr>
          <w:p w14:paraId="7499A462"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78.921</w:t>
            </w:r>
          </w:p>
        </w:tc>
      </w:tr>
      <w:tr w:rsidR="00394C7E" w:rsidRPr="006148E8" w14:paraId="094A8F0F" w14:textId="77777777" w:rsidTr="00B6663F">
        <w:trPr>
          <w:trHeight w:val="240"/>
        </w:trPr>
        <w:tc>
          <w:tcPr>
            <w:tcW w:w="1240" w:type="dxa"/>
            <w:tcBorders>
              <w:top w:val="nil"/>
              <w:left w:val="single" w:sz="8" w:space="0" w:color="auto"/>
              <w:bottom w:val="nil"/>
              <w:right w:val="nil"/>
            </w:tcBorders>
            <w:shd w:val="clear" w:color="auto" w:fill="auto"/>
            <w:noWrap/>
            <w:vAlign w:val="bottom"/>
            <w:hideMark/>
          </w:tcPr>
          <w:p w14:paraId="676E41A2"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7</w:t>
            </w:r>
          </w:p>
        </w:tc>
        <w:tc>
          <w:tcPr>
            <w:tcW w:w="960" w:type="dxa"/>
            <w:tcBorders>
              <w:top w:val="nil"/>
              <w:left w:val="nil"/>
              <w:bottom w:val="nil"/>
              <w:right w:val="nil"/>
            </w:tcBorders>
            <w:shd w:val="clear" w:color="auto" w:fill="auto"/>
            <w:noWrap/>
            <w:vAlign w:val="bottom"/>
            <w:hideMark/>
          </w:tcPr>
          <w:p w14:paraId="0BD8C676"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5</w:t>
            </w:r>
          </w:p>
        </w:tc>
        <w:tc>
          <w:tcPr>
            <w:tcW w:w="1380" w:type="dxa"/>
            <w:tcBorders>
              <w:top w:val="nil"/>
              <w:left w:val="nil"/>
              <w:bottom w:val="nil"/>
              <w:right w:val="single" w:sz="8" w:space="0" w:color="auto"/>
            </w:tcBorders>
            <w:shd w:val="clear" w:color="auto" w:fill="auto"/>
            <w:noWrap/>
            <w:vAlign w:val="bottom"/>
            <w:hideMark/>
          </w:tcPr>
          <w:p w14:paraId="164251D8"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26.931</w:t>
            </w:r>
          </w:p>
        </w:tc>
      </w:tr>
      <w:tr w:rsidR="00394C7E" w:rsidRPr="006148E8" w14:paraId="478E309A" w14:textId="77777777" w:rsidTr="00B6663F">
        <w:trPr>
          <w:trHeight w:val="260"/>
        </w:trPr>
        <w:tc>
          <w:tcPr>
            <w:tcW w:w="1240" w:type="dxa"/>
            <w:tcBorders>
              <w:top w:val="nil"/>
              <w:left w:val="single" w:sz="8" w:space="0" w:color="auto"/>
              <w:bottom w:val="nil"/>
              <w:right w:val="nil"/>
            </w:tcBorders>
            <w:shd w:val="clear" w:color="auto" w:fill="auto"/>
            <w:noWrap/>
            <w:vAlign w:val="bottom"/>
            <w:hideMark/>
          </w:tcPr>
          <w:p w14:paraId="0C5EDFC9"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8</w:t>
            </w:r>
          </w:p>
        </w:tc>
        <w:tc>
          <w:tcPr>
            <w:tcW w:w="960" w:type="dxa"/>
            <w:tcBorders>
              <w:top w:val="nil"/>
              <w:left w:val="nil"/>
              <w:bottom w:val="nil"/>
              <w:right w:val="nil"/>
            </w:tcBorders>
            <w:shd w:val="clear" w:color="auto" w:fill="auto"/>
            <w:noWrap/>
            <w:vAlign w:val="bottom"/>
            <w:hideMark/>
          </w:tcPr>
          <w:p w14:paraId="2EBBD160"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2</w:t>
            </w:r>
          </w:p>
        </w:tc>
        <w:tc>
          <w:tcPr>
            <w:tcW w:w="1380" w:type="dxa"/>
            <w:tcBorders>
              <w:top w:val="nil"/>
              <w:left w:val="nil"/>
              <w:bottom w:val="nil"/>
              <w:right w:val="single" w:sz="8" w:space="0" w:color="auto"/>
            </w:tcBorders>
            <w:shd w:val="clear" w:color="auto" w:fill="auto"/>
            <w:noWrap/>
            <w:vAlign w:val="bottom"/>
            <w:hideMark/>
          </w:tcPr>
          <w:p w14:paraId="765C21EB"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6.464</w:t>
            </w:r>
          </w:p>
        </w:tc>
      </w:tr>
      <w:tr w:rsidR="00394C7E" w:rsidRPr="006148E8" w14:paraId="0727C928" w14:textId="77777777" w:rsidTr="00B6663F">
        <w:trPr>
          <w:trHeight w:val="260"/>
        </w:trPr>
        <w:tc>
          <w:tcPr>
            <w:tcW w:w="1240" w:type="dxa"/>
            <w:tcBorders>
              <w:top w:val="single" w:sz="8" w:space="0" w:color="auto"/>
              <w:left w:val="single" w:sz="8" w:space="0" w:color="auto"/>
              <w:bottom w:val="single" w:sz="8" w:space="0" w:color="auto"/>
              <w:right w:val="nil"/>
            </w:tcBorders>
            <w:shd w:val="clear" w:color="auto" w:fill="auto"/>
            <w:noWrap/>
            <w:vAlign w:val="bottom"/>
            <w:hideMark/>
          </w:tcPr>
          <w:p w14:paraId="34EB63EE" w14:textId="77777777" w:rsidR="00394C7E" w:rsidRPr="006148E8" w:rsidRDefault="00394C7E" w:rsidP="006148E8">
            <w:pPr>
              <w:spacing w:line="276" w:lineRule="auto"/>
              <w:jc w:val="center"/>
              <w:rPr>
                <w:rFonts w:eastAsia="Times New Roman" w:cstheme="majorHAnsi"/>
                <w:color w:val="000000" w:themeColor="text1"/>
                <w:lang w:eastAsia="it-IT"/>
              </w:rPr>
            </w:pPr>
            <w:r w:rsidRPr="006148E8">
              <w:rPr>
                <w:rFonts w:eastAsia="Times New Roman" w:cstheme="majorHAnsi"/>
                <w:color w:val="000000" w:themeColor="text1"/>
                <w:lang w:eastAsia="it-IT"/>
              </w:rPr>
              <w:t>1+</w:t>
            </w:r>
          </w:p>
        </w:tc>
        <w:tc>
          <w:tcPr>
            <w:tcW w:w="960" w:type="dxa"/>
            <w:tcBorders>
              <w:top w:val="single" w:sz="8" w:space="0" w:color="auto"/>
              <w:left w:val="nil"/>
              <w:bottom w:val="single" w:sz="8" w:space="0" w:color="auto"/>
              <w:right w:val="nil"/>
            </w:tcBorders>
            <w:shd w:val="clear" w:color="auto" w:fill="auto"/>
            <w:noWrap/>
            <w:vAlign w:val="bottom"/>
            <w:hideMark/>
          </w:tcPr>
          <w:p w14:paraId="45656F16"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5.653</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14:paraId="5F637FB9" w14:textId="77777777" w:rsidR="00394C7E" w:rsidRPr="006148E8" w:rsidRDefault="00394C7E" w:rsidP="006148E8">
            <w:pPr>
              <w:spacing w:line="276" w:lineRule="auto"/>
              <w:jc w:val="right"/>
              <w:rPr>
                <w:rFonts w:eastAsia="Times New Roman" w:cstheme="majorHAnsi"/>
                <w:color w:val="000000" w:themeColor="text1"/>
                <w:lang w:eastAsia="it-IT"/>
              </w:rPr>
            </w:pPr>
            <w:r w:rsidRPr="006148E8">
              <w:rPr>
                <w:rFonts w:eastAsia="Times New Roman" w:cstheme="majorHAnsi"/>
                <w:color w:val="000000" w:themeColor="text1"/>
                <w:lang w:eastAsia="it-IT"/>
              </w:rPr>
              <w:t>26.108.352</w:t>
            </w:r>
          </w:p>
        </w:tc>
      </w:tr>
    </w:tbl>
    <w:p w14:paraId="1C5CBB0E" w14:textId="77777777" w:rsidR="00394C7E" w:rsidRPr="006148E8" w:rsidRDefault="00394C7E" w:rsidP="006148E8">
      <w:pPr>
        <w:spacing w:line="276" w:lineRule="auto"/>
        <w:jc w:val="both"/>
        <w:rPr>
          <w:rFonts w:cstheme="majorHAnsi"/>
          <w:b/>
          <w:bCs/>
          <w:color w:val="000000" w:themeColor="text1"/>
        </w:rPr>
      </w:pPr>
    </w:p>
    <w:p w14:paraId="2994D9AF" w14:textId="0860CDDA" w:rsidR="0086262D" w:rsidRPr="006148E8" w:rsidRDefault="0086262D" w:rsidP="006148E8">
      <w:pPr>
        <w:spacing w:after="120" w:line="276" w:lineRule="auto"/>
        <w:jc w:val="both"/>
        <w:rPr>
          <w:rFonts w:cstheme="majorHAnsi"/>
          <w:color w:val="000000" w:themeColor="text1"/>
        </w:rPr>
      </w:pPr>
      <w:r w:rsidRPr="006148E8">
        <w:rPr>
          <w:rFonts w:cstheme="majorHAnsi"/>
          <w:b/>
          <w:bCs/>
          <w:color w:val="000000" w:themeColor="text1"/>
        </w:rPr>
        <w:t>Alimentare.</w:t>
      </w:r>
      <w:r w:rsidRPr="006148E8">
        <w:rPr>
          <w:rFonts w:cstheme="majorHAnsi"/>
          <w:color w:val="000000" w:themeColor="text1"/>
        </w:rPr>
        <w:t xml:space="preserve"> Nel settore alimentare, la situazione è particolarmente grave: in 565 comuni, oltre 3,8 milioni di persone non possono più acquistare il pane in una panetteria vicino a casa, e più di 1,2 milioni di residenti hanno perso l’accesso ai forni. Anche per altri generi alimentari la situazione è drammatica: circa 3 milioni di persone non hanno più un negozio di bevande, 2,3 milioni non possono più acquistare pesce fresco in una pescheria, 2,1 milioni non trovano più un negozio di ortofrutta, 1,6 milioni non possono più rivolgersi a una macelleria, e quasi 800mila devono rinunciare anche ai minimarket.</w:t>
      </w:r>
    </w:p>
    <w:p w14:paraId="2E51421A" w14:textId="77777777" w:rsidR="0086262D" w:rsidRPr="006148E8" w:rsidRDefault="0086262D" w:rsidP="006148E8">
      <w:pPr>
        <w:spacing w:after="120" w:line="276" w:lineRule="auto"/>
        <w:jc w:val="both"/>
        <w:rPr>
          <w:rFonts w:cstheme="majorHAnsi"/>
          <w:color w:val="000000" w:themeColor="text1"/>
        </w:rPr>
      </w:pPr>
      <w:r w:rsidRPr="006148E8">
        <w:rPr>
          <w:rFonts w:cstheme="majorHAnsi"/>
          <w:b/>
          <w:bCs/>
          <w:color w:val="000000" w:themeColor="text1"/>
        </w:rPr>
        <w:lastRenderedPageBreak/>
        <w:t>Abbigliamento.</w:t>
      </w:r>
      <w:r w:rsidRPr="006148E8">
        <w:rPr>
          <w:rFonts w:cstheme="majorHAnsi"/>
          <w:color w:val="000000" w:themeColor="text1"/>
        </w:rPr>
        <w:t xml:space="preserve"> Nel comparto dell'abbigliamento, la situazione non è meno preoccupante. Circa 3,2 milioni di residenti devono uscire dal loro comune per raggiungere un negozio di biancheria, una cifra simile (3,1 milioni) non ha accesso a un negozio di vestiti per bambini, e 1,2 milioni non possono più acquistare abiti per adulti nel proprio comune.</w:t>
      </w:r>
    </w:p>
    <w:p w14:paraId="218B1C0D" w14:textId="04C5E024" w:rsidR="0086262D" w:rsidRPr="006148E8" w:rsidRDefault="0086262D" w:rsidP="006148E8">
      <w:pPr>
        <w:spacing w:after="120" w:line="276" w:lineRule="auto"/>
        <w:jc w:val="both"/>
        <w:rPr>
          <w:rFonts w:cstheme="majorHAnsi"/>
          <w:color w:val="000000" w:themeColor="text1"/>
        </w:rPr>
      </w:pPr>
      <w:r w:rsidRPr="006148E8">
        <w:rPr>
          <w:rFonts w:cstheme="majorHAnsi"/>
          <w:b/>
          <w:bCs/>
          <w:color w:val="000000" w:themeColor="text1"/>
        </w:rPr>
        <w:t>Altro non alimentare.</w:t>
      </w:r>
      <w:r w:rsidRPr="006148E8">
        <w:rPr>
          <w:rFonts w:cstheme="majorHAnsi"/>
          <w:color w:val="000000" w:themeColor="text1"/>
        </w:rPr>
        <w:t xml:space="preserve"> Anche il settore non alimentare vede una significativa riduzione dei punti vendita. Altri 3,6 milioni di residenti, soprattutto nei piccoli comuni, non hanno più un negozio di elettronica o elettrodomestici nelle vicinanze. Quasi 3,5 milioni di persone non possono più comprare giornali o riviste nel loro comune, 2,7 milioni non hanno accesso a librerie, quasi 2,6 milioni non possono rivolgersi a un emporio per prodotti non alimentari, 1,6 milioni non trovano più un ferramenta, e oltre 500mila italiani devono recarsi in un altro comune per fare rifornimento di carburante.</w:t>
      </w:r>
    </w:p>
    <w:p w14:paraId="4F78C762" w14:textId="2562809D" w:rsidR="00DE7EA3" w:rsidRDefault="0086262D" w:rsidP="006148E8">
      <w:pPr>
        <w:spacing w:after="120" w:line="276" w:lineRule="auto"/>
        <w:jc w:val="both"/>
        <w:rPr>
          <w:rFonts w:cstheme="majorHAnsi"/>
          <w:color w:val="000000" w:themeColor="text1"/>
        </w:rPr>
      </w:pPr>
      <w:r w:rsidRPr="006148E8">
        <w:rPr>
          <w:rFonts w:cstheme="majorHAnsi"/>
          <w:b/>
          <w:bCs/>
          <w:color w:val="000000" w:themeColor="text1"/>
        </w:rPr>
        <w:t>Servizi.</w:t>
      </w:r>
      <w:r w:rsidRPr="006148E8">
        <w:rPr>
          <w:rFonts w:cstheme="majorHAnsi"/>
          <w:color w:val="000000" w:themeColor="text1"/>
        </w:rPr>
        <w:t xml:space="preserve"> Più contenuta, ma comunque notevole, la desertificazione delle attività di servizio. Parrucchieri e barbieri spariscono da 273 comuni (tutti sotto i 5mila abitanti), per un totale di oltre 237mila residenti. I bar, simbolo della socialità di provincia, hanno chiuso per 150mila persone in 246 piccoli comuni – anche in questo caso tutti sotto i 5mila abitanti.</w:t>
      </w:r>
    </w:p>
    <w:p w14:paraId="6DA483C4" w14:textId="77777777" w:rsidR="006148E8" w:rsidRPr="006148E8" w:rsidRDefault="006148E8" w:rsidP="006148E8">
      <w:pPr>
        <w:spacing w:after="120" w:line="276" w:lineRule="auto"/>
        <w:jc w:val="both"/>
        <w:rPr>
          <w:rFonts w:cstheme="majorHAnsi"/>
          <w:color w:val="000000" w:themeColor="text1"/>
        </w:rPr>
      </w:pPr>
    </w:p>
    <w:p w14:paraId="12DDB41E" w14:textId="3FEC460B" w:rsidR="00DE7EA3" w:rsidRPr="006148E8" w:rsidRDefault="00DE7EA3" w:rsidP="006148E8">
      <w:pPr>
        <w:pStyle w:val="Titolo2"/>
      </w:pPr>
      <w:r w:rsidRPr="006148E8">
        <w:t>L</w:t>
      </w:r>
      <w:r w:rsidR="001763DB" w:rsidRPr="006148E8">
        <w:t>’</w:t>
      </w:r>
      <w:r w:rsidRPr="006148E8">
        <w:t>a</w:t>
      </w:r>
      <w:r w:rsidR="001763DB" w:rsidRPr="006148E8">
        <w:t>vanzata della</w:t>
      </w:r>
      <w:r w:rsidRPr="006148E8">
        <w:t xml:space="preserve"> desertificazione nei piccoli, medi e grandi comuni </w:t>
      </w:r>
    </w:p>
    <w:p w14:paraId="50217926" w14:textId="5A99A4F1" w:rsidR="0086262D" w:rsidRPr="006148E8" w:rsidRDefault="0086262D" w:rsidP="006148E8">
      <w:pPr>
        <w:spacing w:after="120" w:line="276" w:lineRule="auto"/>
        <w:jc w:val="both"/>
        <w:rPr>
          <w:rFonts w:cstheme="majorHAnsi"/>
          <w:color w:val="000000" w:themeColor="text1"/>
        </w:rPr>
      </w:pPr>
      <w:r w:rsidRPr="006148E8">
        <w:rPr>
          <w:rFonts w:cstheme="majorHAnsi"/>
          <w:b/>
          <w:bCs/>
          <w:color w:val="000000" w:themeColor="text1"/>
        </w:rPr>
        <w:t xml:space="preserve">I piccoli comuni. </w:t>
      </w:r>
      <w:r w:rsidR="00A078D9" w:rsidRPr="006148E8">
        <w:rPr>
          <w:rFonts w:cstheme="majorHAnsi"/>
          <w:color w:val="000000" w:themeColor="text1"/>
        </w:rPr>
        <w:t>L’avanzata della desertificazione commerciale è evidente a tutti, e colpisce micro, piccoli e grandi centri urbani. Ma</w:t>
      </w:r>
      <w:r w:rsidRPr="006148E8">
        <w:rPr>
          <w:rFonts w:cstheme="majorHAnsi"/>
          <w:color w:val="000000" w:themeColor="text1"/>
        </w:rPr>
        <w:t xml:space="preserve">, come visto, </w:t>
      </w:r>
      <w:r w:rsidR="00A078D9" w:rsidRPr="006148E8">
        <w:rPr>
          <w:rFonts w:cstheme="majorHAnsi"/>
          <w:color w:val="000000" w:themeColor="text1"/>
        </w:rPr>
        <w:t>è un’avanzata diseguale</w:t>
      </w:r>
      <w:r w:rsidRPr="006148E8">
        <w:rPr>
          <w:rFonts w:cstheme="majorHAnsi"/>
          <w:color w:val="000000" w:themeColor="text1"/>
        </w:rPr>
        <w:t xml:space="preserve">, decisamente </w:t>
      </w:r>
      <w:r w:rsidR="00A078D9" w:rsidRPr="006148E8">
        <w:rPr>
          <w:rFonts w:cstheme="majorHAnsi"/>
          <w:color w:val="000000" w:themeColor="text1"/>
        </w:rPr>
        <w:t>più veloce nei borghi e nei</w:t>
      </w:r>
      <w:r w:rsidRPr="006148E8">
        <w:rPr>
          <w:rFonts w:cstheme="majorHAnsi"/>
          <w:color w:val="000000" w:themeColor="text1"/>
        </w:rPr>
        <w:t xml:space="preserve"> piccoli comuni sotto i 15mila abitanti, dove è già scomparsa oltre un’attività di base su dieci (-10,6%). </w:t>
      </w:r>
    </w:p>
    <w:p w14:paraId="019AF5A7" w14:textId="3634848B" w:rsidR="0086262D" w:rsidRPr="006148E8" w:rsidRDefault="0086262D" w:rsidP="006148E8">
      <w:pPr>
        <w:spacing w:after="120" w:line="276" w:lineRule="auto"/>
        <w:jc w:val="both"/>
        <w:rPr>
          <w:rFonts w:cstheme="majorHAnsi"/>
          <w:color w:val="000000" w:themeColor="text1"/>
        </w:rPr>
      </w:pPr>
      <w:r w:rsidRPr="006148E8">
        <w:rPr>
          <w:rFonts w:cstheme="majorHAnsi"/>
          <w:color w:val="000000" w:themeColor="text1"/>
        </w:rPr>
        <w:t xml:space="preserve">Complessivamente, l’insieme da noi definito di attività commerciali di base conta nel 2024 poco più di 198mila imprese nei comuni con popolazione inferiore ai 15mila abitanti. Un numero estremamente ridotto rispetto al recente passato: dal 2014 nei piccoli e piccolissimi comuni sono infatti sparite </w:t>
      </w:r>
      <w:r w:rsidRPr="006148E8">
        <w:rPr>
          <w:rFonts w:cstheme="majorHAnsi"/>
          <w:b/>
          <w:bCs/>
          <w:color w:val="000000" w:themeColor="text1"/>
        </w:rPr>
        <w:t>oltre 23mila</w:t>
      </w:r>
      <w:r w:rsidRPr="006148E8">
        <w:rPr>
          <w:rFonts w:cstheme="majorHAnsi"/>
          <w:color w:val="000000" w:themeColor="text1"/>
        </w:rPr>
        <w:t xml:space="preserve"> attività commerciali di base, con un calo che sfiora il -14% nelle località sotto i 5mila abitanti. Un’emorragia diventata sempre più rapida dopo la pandemia, e che rischia di limitare gravemente l’accesso ai servizi delle persone che vivono nei piccoli comuni. Il processo di desertificazione in queste località si è infatti intensificato drammaticamente negli ultimi cinque anni: dal 2019 sono scomparse dai piccoli comuni </w:t>
      </w:r>
      <w:r w:rsidRPr="006148E8">
        <w:rPr>
          <w:rFonts w:cstheme="majorHAnsi"/>
          <w:b/>
          <w:bCs/>
          <w:color w:val="000000" w:themeColor="text1"/>
        </w:rPr>
        <w:t>16.512</w:t>
      </w:r>
      <w:r w:rsidRPr="006148E8">
        <w:rPr>
          <w:rFonts w:cstheme="majorHAnsi"/>
          <w:color w:val="000000" w:themeColor="text1"/>
        </w:rPr>
        <w:t xml:space="preserve"> imprese commerciali di base, circa i due terzi del totale di quante perdute nell’intero decennio. </w:t>
      </w:r>
    </w:p>
    <w:p w14:paraId="1A4F492C" w14:textId="55C6495F" w:rsidR="0086262D" w:rsidRPr="006148E8" w:rsidRDefault="0086262D" w:rsidP="006148E8">
      <w:pPr>
        <w:spacing w:after="120" w:line="276" w:lineRule="auto"/>
        <w:jc w:val="both"/>
        <w:rPr>
          <w:rFonts w:cstheme="majorHAnsi"/>
          <w:color w:val="000000" w:themeColor="text1"/>
        </w:rPr>
      </w:pPr>
      <w:r w:rsidRPr="006148E8">
        <w:rPr>
          <w:rFonts w:cstheme="majorHAnsi"/>
          <w:b/>
          <w:bCs/>
          <w:color w:val="000000" w:themeColor="text1"/>
        </w:rPr>
        <w:t>Piccoli comuni: il calo per tipologia di impresa</w:t>
      </w:r>
      <w:r w:rsidRPr="006148E8">
        <w:rPr>
          <w:rFonts w:cstheme="majorHAnsi"/>
          <w:color w:val="000000" w:themeColor="text1"/>
        </w:rPr>
        <w:t>. A ridursi, proporzionalmente, sono soprattutto i negozi di elettronica di consumo e di elettrodomestici (-30,9% dal 2014), anche a causa dello spostamento delle vendite di questo tipo di prodotti verso l’eCommerce. Il cambiamento dei consumi innescato dalle tecnologie digitali è visibile anche per la rete di edicole e rivendite di quotidiani e riviste, che diminuiscono del 30,3% in dieci anni. In crollo anche i distributori di carburanti, che lasciano sul campo in dieci anni quasi un quarto dei punti vendita (-22,6%).</w:t>
      </w:r>
    </w:p>
    <w:p w14:paraId="6EB6EA45" w14:textId="77777777" w:rsidR="0086262D" w:rsidRPr="006148E8" w:rsidRDefault="0086262D" w:rsidP="006148E8">
      <w:pPr>
        <w:spacing w:after="120" w:line="276" w:lineRule="auto"/>
        <w:jc w:val="both"/>
        <w:rPr>
          <w:rFonts w:cstheme="majorHAnsi"/>
          <w:color w:val="000000" w:themeColor="text1"/>
        </w:rPr>
      </w:pPr>
      <w:r w:rsidRPr="006148E8">
        <w:rPr>
          <w:rFonts w:cstheme="majorHAnsi"/>
          <w:color w:val="000000" w:themeColor="text1"/>
        </w:rPr>
        <w:lastRenderedPageBreak/>
        <w:t>Forte contrazione anche per minimarket (-19%), ma spariscono velocemente anche le macellerie (-18,4%), panetterie (-17,3%) e ferramenta (-15,3%). Cali un po’ meno veloci, ma sempre cali, invece, per empori (-3,1%) e librerie (-7,5%). Anche se, in quest’ultimo caso, la rete è quasi ridotta all’osso: in media, ormai, nelle località più piccole c’è una sola libreria ogni 30mila abitanti.</w:t>
      </w:r>
    </w:p>
    <w:p w14:paraId="7A4653FC" w14:textId="4760D597" w:rsidR="0086262D" w:rsidRPr="006148E8" w:rsidRDefault="0086262D" w:rsidP="006148E8">
      <w:pPr>
        <w:spacing w:after="120" w:line="276" w:lineRule="auto"/>
        <w:jc w:val="both"/>
        <w:rPr>
          <w:rFonts w:cstheme="majorHAnsi"/>
          <w:color w:val="000000" w:themeColor="text1"/>
        </w:rPr>
      </w:pPr>
      <w:r w:rsidRPr="006148E8">
        <w:rPr>
          <w:rFonts w:cstheme="majorHAnsi"/>
          <w:color w:val="000000" w:themeColor="text1"/>
        </w:rPr>
        <w:t xml:space="preserve">Più variegato, invece, l’andamento </w:t>
      </w:r>
      <w:r w:rsidR="003A1896" w:rsidRPr="006148E8">
        <w:rPr>
          <w:rFonts w:cstheme="majorHAnsi"/>
          <w:color w:val="000000" w:themeColor="text1"/>
        </w:rPr>
        <w:t>de</w:t>
      </w:r>
      <w:r w:rsidRPr="006148E8">
        <w:rPr>
          <w:rFonts w:cstheme="majorHAnsi"/>
          <w:color w:val="000000" w:themeColor="text1"/>
        </w:rPr>
        <w:t>i negozi di abbigliamento di base</w:t>
      </w:r>
      <w:r w:rsidR="003A1896" w:rsidRPr="006148E8">
        <w:rPr>
          <w:rFonts w:cstheme="majorHAnsi"/>
          <w:color w:val="000000" w:themeColor="text1"/>
        </w:rPr>
        <w:t>. Quelli</w:t>
      </w:r>
      <w:r w:rsidRPr="006148E8">
        <w:rPr>
          <w:rFonts w:cstheme="majorHAnsi"/>
          <w:color w:val="000000" w:themeColor="text1"/>
        </w:rPr>
        <w:t xml:space="preserve"> di abbigliamento per adulti aumentano del +31,2% (2.242 negozi in più). Una crescita che sembra, però, essere trainata soprattutto dall’effetto sostituzione delle sottocategorie specifiche della moda: i negozi di confezioni per bambini e neonati perdono il 12,2% delle imprese in dieci anni, quelli di biancheria il 23,6% il e quelli di calzature il 28,3%. Riduzioni che trainano in negativo la dinamica complessiva dei negozi di moda (-151 imprese dal 2014).</w:t>
      </w:r>
    </w:p>
    <w:p w14:paraId="2EA6C7E7" w14:textId="1BA296D5" w:rsidR="0086262D" w:rsidRPr="006148E8" w:rsidRDefault="0086262D" w:rsidP="006148E8">
      <w:pPr>
        <w:spacing w:after="120" w:line="276" w:lineRule="auto"/>
        <w:jc w:val="both"/>
        <w:rPr>
          <w:rFonts w:cstheme="majorHAnsi"/>
          <w:color w:val="000000" w:themeColor="text1"/>
        </w:rPr>
      </w:pPr>
      <w:r w:rsidRPr="006148E8">
        <w:rPr>
          <w:rFonts w:cstheme="majorHAnsi"/>
          <w:color w:val="000000" w:themeColor="text1"/>
        </w:rPr>
        <w:t>Nemmeno bar ed esercizi simili si salvano dalla desertificazione: un tempo punti centrali, anche dal punto di vista sociale, dei centri minori, stanno sparendo sempre più rapidamente dai piccoli comuni: dal 2014 la flessione è del -12%, pari a -7.616 imprese in meno, la maggior parte (-6.374) persa dal 2019 ad oggi. Giù anche i parrucchieri (-5% dal 2014, quasi 2mila imprese in meno).</w:t>
      </w:r>
    </w:p>
    <w:p w14:paraId="5C0DFBE5" w14:textId="50C42E0A" w:rsidR="0086262D" w:rsidRPr="006148E8" w:rsidRDefault="00DE7EA3" w:rsidP="006148E8">
      <w:pPr>
        <w:spacing w:after="120" w:line="276" w:lineRule="auto"/>
        <w:jc w:val="both"/>
        <w:rPr>
          <w:rFonts w:cstheme="majorHAnsi"/>
          <w:color w:val="000000" w:themeColor="text1"/>
        </w:rPr>
      </w:pPr>
      <w:r w:rsidRPr="006148E8">
        <w:rPr>
          <w:rFonts w:cstheme="majorHAnsi"/>
          <w:b/>
          <w:bCs/>
          <w:color w:val="000000" w:themeColor="text1"/>
        </w:rPr>
        <w:t>Piccoli comuni: c</w:t>
      </w:r>
      <w:r w:rsidR="0086262D" w:rsidRPr="006148E8">
        <w:rPr>
          <w:rFonts w:cstheme="majorHAnsi"/>
          <w:b/>
          <w:bCs/>
          <w:color w:val="000000" w:themeColor="text1"/>
        </w:rPr>
        <w:t>hi fa eccezione.</w:t>
      </w:r>
      <w:r w:rsidR="0086262D" w:rsidRPr="006148E8">
        <w:rPr>
          <w:rFonts w:cstheme="majorHAnsi"/>
          <w:color w:val="000000" w:themeColor="text1"/>
        </w:rPr>
        <w:t xml:space="preserve"> Tra i servizi di base, registra una crescita delle imprese attive nei piccoli comuni il commercio al dettaglio di generi di monopolio, che registra un +4,9%, pari a 634 imprese in più, in dieci anni. Una tenuta dovuta alla struttura di rete ‘protetta’, ma anche al progressivo aumento dei servizi offerti da tabaccherie e ricevitorie ai propri clienti, dai pagamenti di bollettini e multe ai trasferimenti di denaro, passando per la ricezione di pacchi e la gestione di abbonamenti digitali, che ha contribuito a rafforzare la loro presenza e il loro ruolo nei piccoli comuni.</w:t>
      </w:r>
    </w:p>
    <w:p w14:paraId="3D159605" w14:textId="48833CEC" w:rsidR="0086262D" w:rsidRPr="006148E8" w:rsidRDefault="0086262D" w:rsidP="006148E8">
      <w:pPr>
        <w:spacing w:after="120" w:line="276" w:lineRule="auto"/>
        <w:jc w:val="both"/>
        <w:rPr>
          <w:rFonts w:cstheme="majorHAnsi"/>
          <w:color w:val="000000" w:themeColor="text1"/>
        </w:rPr>
      </w:pPr>
      <w:r w:rsidRPr="006148E8">
        <w:rPr>
          <w:rFonts w:cstheme="majorHAnsi"/>
          <w:color w:val="000000" w:themeColor="text1"/>
        </w:rPr>
        <w:t>Crescono anche le farmacie: secondo i dati di Federfarma, in Italia, nel 2014, operavano oltre 6.000 farmacie rurali, cioè farmacie situate in comuni o centri abitati con meno di 5.000 abitanti. Nel 2024 se ne contano oltre 7.200. Anche in questo caso, si tratta di attività che godono di una certa protezione, essendo fondamentali per garantire l’accesso ai medicinali e ai servizi sanitari nelle aree meno densamente popolate. La loro presenza è incentivata da politiche che mirano a garantire la copertura sanitaria su tutto il territorio nazionale, riconoscendo l'importanza di queste strutture come presidi di servizio indispensabili per le comunità locali.</w:t>
      </w:r>
    </w:p>
    <w:tbl>
      <w:tblPr>
        <w:tblW w:w="9607" w:type="dxa"/>
        <w:tblCellMar>
          <w:left w:w="70" w:type="dxa"/>
          <w:right w:w="70" w:type="dxa"/>
        </w:tblCellMar>
        <w:tblLook w:val="04A0" w:firstRow="1" w:lastRow="0" w:firstColumn="1" w:lastColumn="0" w:noHBand="0" w:noVBand="1"/>
      </w:tblPr>
      <w:tblGrid>
        <w:gridCol w:w="5744"/>
        <w:gridCol w:w="1022"/>
        <w:gridCol w:w="942"/>
        <w:gridCol w:w="989"/>
        <w:gridCol w:w="910"/>
      </w:tblGrid>
      <w:tr w:rsidR="00394C7E" w:rsidRPr="006148E8" w14:paraId="6C6D662F" w14:textId="77777777" w:rsidTr="001763DB">
        <w:trPr>
          <w:trHeight w:val="163"/>
        </w:trPr>
        <w:tc>
          <w:tcPr>
            <w:tcW w:w="5744" w:type="dxa"/>
            <w:tcBorders>
              <w:top w:val="single" w:sz="4" w:space="0" w:color="auto"/>
              <w:left w:val="single" w:sz="4" w:space="0" w:color="auto"/>
              <w:bottom w:val="single" w:sz="4" w:space="0" w:color="auto"/>
              <w:right w:val="single" w:sz="4" w:space="0" w:color="auto"/>
            </w:tcBorders>
            <w:shd w:val="clear" w:color="auto" w:fill="84E290" w:themeFill="accent3" w:themeFillTint="66"/>
            <w:noWrap/>
            <w:vAlign w:val="bottom"/>
            <w:hideMark/>
          </w:tcPr>
          <w:p w14:paraId="5E25C52D" w14:textId="77777777" w:rsidR="0086262D" w:rsidRPr="006148E8" w:rsidRDefault="0086262D" w:rsidP="006148E8">
            <w:pPr>
              <w:jc w:val="both"/>
              <w:rPr>
                <w:rFonts w:eastAsia="Times New Roman" w:cstheme="majorHAnsi"/>
                <w:b/>
                <w:bCs/>
                <w:color w:val="000000" w:themeColor="text1"/>
                <w:lang w:eastAsia="it-IT"/>
              </w:rPr>
            </w:pPr>
            <w:r w:rsidRPr="006148E8">
              <w:rPr>
                <w:rFonts w:eastAsia="Times New Roman" w:cstheme="majorHAnsi"/>
                <w:b/>
                <w:bCs/>
                <w:color w:val="000000" w:themeColor="text1"/>
                <w:lang w:eastAsia="it-IT"/>
              </w:rPr>
              <w:t> Comuni fino a 15.000 mila abitanti</w:t>
            </w:r>
          </w:p>
        </w:tc>
        <w:tc>
          <w:tcPr>
            <w:tcW w:w="1964" w:type="dxa"/>
            <w:gridSpan w:val="2"/>
            <w:tcBorders>
              <w:top w:val="single" w:sz="4" w:space="0" w:color="auto"/>
              <w:left w:val="nil"/>
              <w:bottom w:val="single" w:sz="4" w:space="0" w:color="auto"/>
              <w:right w:val="single" w:sz="4" w:space="0" w:color="auto"/>
            </w:tcBorders>
            <w:shd w:val="clear" w:color="auto" w:fill="84E290" w:themeFill="accent3" w:themeFillTint="66"/>
            <w:noWrap/>
            <w:vAlign w:val="bottom"/>
            <w:hideMark/>
          </w:tcPr>
          <w:p w14:paraId="6A0A2763"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2024/2014</w:t>
            </w:r>
          </w:p>
        </w:tc>
        <w:tc>
          <w:tcPr>
            <w:tcW w:w="1899" w:type="dxa"/>
            <w:gridSpan w:val="2"/>
            <w:tcBorders>
              <w:top w:val="single" w:sz="4" w:space="0" w:color="auto"/>
              <w:left w:val="nil"/>
              <w:bottom w:val="single" w:sz="4" w:space="0" w:color="auto"/>
              <w:right w:val="single" w:sz="4" w:space="0" w:color="auto"/>
            </w:tcBorders>
            <w:shd w:val="clear" w:color="auto" w:fill="84E290" w:themeFill="accent3" w:themeFillTint="66"/>
            <w:noWrap/>
            <w:vAlign w:val="bottom"/>
            <w:hideMark/>
          </w:tcPr>
          <w:p w14:paraId="2295EB37"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2024/2019</w:t>
            </w:r>
          </w:p>
        </w:tc>
      </w:tr>
      <w:tr w:rsidR="00394C7E" w:rsidRPr="006148E8" w14:paraId="0A29A078" w14:textId="77777777" w:rsidTr="001763DB">
        <w:trPr>
          <w:trHeight w:val="163"/>
        </w:trPr>
        <w:tc>
          <w:tcPr>
            <w:tcW w:w="5744" w:type="dxa"/>
            <w:tcBorders>
              <w:top w:val="nil"/>
              <w:left w:val="single" w:sz="4" w:space="0" w:color="auto"/>
              <w:bottom w:val="single" w:sz="4" w:space="0" w:color="auto"/>
              <w:right w:val="single" w:sz="4" w:space="0" w:color="auto"/>
            </w:tcBorders>
            <w:shd w:val="clear" w:color="auto" w:fill="auto"/>
            <w:vAlign w:val="bottom"/>
            <w:hideMark/>
          </w:tcPr>
          <w:p w14:paraId="3BF604A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Forni</w:t>
            </w:r>
          </w:p>
        </w:tc>
        <w:tc>
          <w:tcPr>
            <w:tcW w:w="1022" w:type="dxa"/>
            <w:tcBorders>
              <w:top w:val="nil"/>
              <w:left w:val="nil"/>
              <w:bottom w:val="single" w:sz="4" w:space="0" w:color="auto"/>
              <w:right w:val="single" w:sz="4" w:space="0" w:color="auto"/>
            </w:tcBorders>
            <w:shd w:val="clear" w:color="auto" w:fill="auto"/>
            <w:noWrap/>
            <w:vAlign w:val="bottom"/>
            <w:hideMark/>
          </w:tcPr>
          <w:p w14:paraId="681E0E07"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-1.120 </w:t>
            </w:r>
          </w:p>
        </w:tc>
        <w:tc>
          <w:tcPr>
            <w:tcW w:w="941" w:type="dxa"/>
            <w:tcBorders>
              <w:top w:val="nil"/>
              <w:left w:val="nil"/>
              <w:bottom w:val="single" w:sz="4" w:space="0" w:color="auto"/>
              <w:right w:val="single" w:sz="4" w:space="0" w:color="auto"/>
            </w:tcBorders>
            <w:shd w:val="clear" w:color="auto" w:fill="auto"/>
            <w:noWrap/>
            <w:vAlign w:val="bottom"/>
            <w:hideMark/>
          </w:tcPr>
          <w:p w14:paraId="640D10B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-8,8%</w:t>
            </w:r>
          </w:p>
        </w:tc>
        <w:tc>
          <w:tcPr>
            <w:tcW w:w="989" w:type="dxa"/>
            <w:tcBorders>
              <w:top w:val="nil"/>
              <w:left w:val="nil"/>
              <w:bottom w:val="single" w:sz="4" w:space="0" w:color="auto"/>
              <w:right w:val="single" w:sz="4" w:space="0" w:color="auto"/>
            </w:tcBorders>
            <w:shd w:val="clear" w:color="auto" w:fill="auto"/>
            <w:noWrap/>
            <w:vAlign w:val="bottom"/>
            <w:hideMark/>
          </w:tcPr>
          <w:p w14:paraId="64460A3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-914 </w:t>
            </w:r>
          </w:p>
        </w:tc>
        <w:tc>
          <w:tcPr>
            <w:tcW w:w="909" w:type="dxa"/>
            <w:tcBorders>
              <w:top w:val="nil"/>
              <w:left w:val="nil"/>
              <w:bottom w:val="single" w:sz="4" w:space="0" w:color="auto"/>
              <w:right w:val="single" w:sz="4" w:space="0" w:color="auto"/>
            </w:tcBorders>
            <w:shd w:val="clear" w:color="auto" w:fill="auto"/>
            <w:noWrap/>
            <w:vAlign w:val="bottom"/>
            <w:hideMark/>
          </w:tcPr>
          <w:p w14:paraId="6E03283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-7,3%</w:t>
            </w:r>
          </w:p>
        </w:tc>
      </w:tr>
      <w:tr w:rsidR="00394C7E" w:rsidRPr="006148E8" w14:paraId="70197858" w14:textId="77777777" w:rsidTr="001763DB">
        <w:trPr>
          <w:trHeight w:val="328"/>
        </w:trPr>
        <w:tc>
          <w:tcPr>
            <w:tcW w:w="5744" w:type="dxa"/>
            <w:tcBorders>
              <w:top w:val="nil"/>
              <w:left w:val="single" w:sz="4" w:space="0" w:color="auto"/>
              <w:bottom w:val="single" w:sz="4" w:space="0" w:color="auto"/>
              <w:right w:val="single" w:sz="4" w:space="0" w:color="auto"/>
            </w:tcBorders>
            <w:shd w:val="clear" w:color="auto" w:fill="auto"/>
            <w:vAlign w:val="bottom"/>
            <w:hideMark/>
          </w:tcPr>
          <w:p w14:paraId="79FDC5C6" w14:textId="77777777" w:rsidR="0086262D" w:rsidRPr="006148E8" w:rsidRDefault="0086262D" w:rsidP="006148E8">
            <w:pPr>
              <w:jc w:val="both"/>
              <w:rPr>
                <w:rFonts w:eastAsia="Times New Roman" w:cstheme="majorHAnsi"/>
                <w:color w:val="000000" w:themeColor="text1"/>
                <w:lang w:eastAsia="it-IT"/>
              </w:rPr>
            </w:pPr>
            <w:r w:rsidRPr="006148E8">
              <w:rPr>
                <w:rFonts w:cstheme="majorHAnsi"/>
                <w:color w:val="000000" w:themeColor="text1"/>
              </w:rPr>
              <w:t>Minimercati</w:t>
            </w:r>
          </w:p>
        </w:tc>
        <w:tc>
          <w:tcPr>
            <w:tcW w:w="1022" w:type="dxa"/>
            <w:tcBorders>
              <w:top w:val="nil"/>
              <w:left w:val="nil"/>
              <w:bottom w:val="single" w:sz="4" w:space="0" w:color="auto"/>
              <w:right w:val="single" w:sz="4" w:space="0" w:color="auto"/>
            </w:tcBorders>
            <w:shd w:val="clear" w:color="auto" w:fill="auto"/>
            <w:noWrap/>
            <w:vAlign w:val="bottom"/>
            <w:hideMark/>
          </w:tcPr>
          <w:p w14:paraId="1799474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-4.538 </w:t>
            </w:r>
          </w:p>
        </w:tc>
        <w:tc>
          <w:tcPr>
            <w:tcW w:w="941" w:type="dxa"/>
            <w:tcBorders>
              <w:top w:val="nil"/>
              <w:left w:val="nil"/>
              <w:bottom w:val="single" w:sz="4" w:space="0" w:color="auto"/>
              <w:right w:val="single" w:sz="4" w:space="0" w:color="auto"/>
            </w:tcBorders>
            <w:shd w:val="clear" w:color="auto" w:fill="auto"/>
            <w:noWrap/>
            <w:vAlign w:val="bottom"/>
            <w:hideMark/>
          </w:tcPr>
          <w:p w14:paraId="6E4F219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-19,0%</w:t>
            </w:r>
          </w:p>
        </w:tc>
        <w:tc>
          <w:tcPr>
            <w:tcW w:w="989" w:type="dxa"/>
            <w:tcBorders>
              <w:top w:val="nil"/>
              <w:left w:val="nil"/>
              <w:bottom w:val="single" w:sz="4" w:space="0" w:color="auto"/>
              <w:right w:val="single" w:sz="4" w:space="0" w:color="auto"/>
            </w:tcBorders>
            <w:shd w:val="clear" w:color="auto" w:fill="auto"/>
            <w:noWrap/>
            <w:vAlign w:val="bottom"/>
            <w:hideMark/>
          </w:tcPr>
          <w:p w14:paraId="6CC77DC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-2.402 </w:t>
            </w:r>
          </w:p>
        </w:tc>
        <w:tc>
          <w:tcPr>
            <w:tcW w:w="909" w:type="dxa"/>
            <w:tcBorders>
              <w:top w:val="nil"/>
              <w:left w:val="nil"/>
              <w:bottom w:val="single" w:sz="4" w:space="0" w:color="auto"/>
              <w:right w:val="single" w:sz="4" w:space="0" w:color="auto"/>
            </w:tcBorders>
            <w:shd w:val="clear" w:color="auto" w:fill="auto"/>
            <w:noWrap/>
            <w:vAlign w:val="bottom"/>
            <w:hideMark/>
          </w:tcPr>
          <w:p w14:paraId="3C3248A3"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-11,0%</w:t>
            </w:r>
          </w:p>
        </w:tc>
      </w:tr>
      <w:tr w:rsidR="00394C7E" w:rsidRPr="006148E8" w14:paraId="40DD53C4" w14:textId="77777777" w:rsidTr="001763DB">
        <w:trPr>
          <w:trHeight w:val="275"/>
        </w:trPr>
        <w:tc>
          <w:tcPr>
            <w:tcW w:w="5744" w:type="dxa"/>
            <w:tcBorders>
              <w:top w:val="nil"/>
              <w:left w:val="single" w:sz="4" w:space="0" w:color="auto"/>
              <w:bottom w:val="single" w:sz="4" w:space="0" w:color="auto"/>
              <w:right w:val="single" w:sz="4" w:space="0" w:color="auto"/>
            </w:tcBorders>
            <w:shd w:val="clear" w:color="auto" w:fill="auto"/>
            <w:hideMark/>
          </w:tcPr>
          <w:p w14:paraId="1C2AADB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Elettrodomestici</w:t>
            </w:r>
          </w:p>
        </w:tc>
        <w:tc>
          <w:tcPr>
            <w:tcW w:w="1022" w:type="dxa"/>
            <w:tcBorders>
              <w:top w:val="nil"/>
              <w:left w:val="nil"/>
              <w:bottom w:val="single" w:sz="4" w:space="0" w:color="auto"/>
              <w:right w:val="single" w:sz="4" w:space="0" w:color="auto"/>
            </w:tcBorders>
            <w:shd w:val="clear" w:color="auto" w:fill="auto"/>
            <w:noWrap/>
            <w:vAlign w:val="bottom"/>
            <w:hideMark/>
          </w:tcPr>
          <w:p w14:paraId="2C575F4F"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-912 </w:t>
            </w:r>
          </w:p>
        </w:tc>
        <w:tc>
          <w:tcPr>
            <w:tcW w:w="941" w:type="dxa"/>
            <w:tcBorders>
              <w:top w:val="nil"/>
              <w:left w:val="nil"/>
              <w:bottom w:val="single" w:sz="4" w:space="0" w:color="auto"/>
              <w:right w:val="single" w:sz="4" w:space="0" w:color="auto"/>
            </w:tcBorders>
            <w:shd w:val="clear" w:color="auto" w:fill="auto"/>
            <w:noWrap/>
            <w:vAlign w:val="bottom"/>
            <w:hideMark/>
          </w:tcPr>
          <w:p w14:paraId="2EF0300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-30,9%</w:t>
            </w:r>
          </w:p>
        </w:tc>
        <w:tc>
          <w:tcPr>
            <w:tcW w:w="989" w:type="dxa"/>
            <w:tcBorders>
              <w:top w:val="nil"/>
              <w:left w:val="nil"/>
              <w:bottom w:val="single" w:sz="4" w:space="0" w:color="auto"/>
              <w:right w:val="single" w:sz="4" w:space="0" w:color="auto"/>
            </w:tcBorders>
            <w:shd w:val="clear" w:color="auto" w:fill="auto"/>
            <w:noWrap/>
            <w:vAlign w:val="bottom"/>
            <w:hideMark/>
          </w:tcPr>
          <w:p w14:paraId="4F6EECE2"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-414 </w:t>
            </w:r>
          </w:p>
        </w:tc>
        <w:tc>
          <w:tcPr>
            <w:tcW w:w="909" w:type="dxa"/>
            <w:tcBorders>
              <w:top w:val="nil"/>
              <w:left w:val="nil"/>
              <w:bottom w:val="single" w:sz="4" w:space="0" w:color="auto"/>
              <w:right w:val="single" w:sz="4" w:space="0" w:color="auto"/>
            </w:tcBorders>
            <w:shd w:val="clear" w:color="auto" w:fill="auto"/>
            <w:noWrap/>
            <w:vAlign w:val="bottom"/>
            <w:hideMark/>
          </w:tcPr>
          <w:p w14:paraId="6D82755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-16,8%</w:t>
            </w:r>
          </w:p>
        </w:tc>
      </w:tr>
      <w:tr w:rsidR="00394C7E" w:rsidRPr="006148E8" w14:paraId="71C47174" w14:textId="77777777" w:rsidTr="001763DB">
        <w:trPr>
          <w:trHeight w:val="328"/>
        </w:trPr>
        <w:tc>
          <w:tcPr>
            <w:tcW w:w="5744" w:type="dxa"/>
            <w:tcBorders>
              <w:top w:val="nil"/>
              <w:left w:val="single" w:sz="4" w:space="0" w:color="auto"/>
              <w:bottom w:val="single" w:sz="4" w:space="0" w:color="auto"/>
              <w:right w:val="single" w:sz="4" w:space="0" w:color="auto"/>
            </w:tcBorders>
            <w:shd w:val="clear" w:color="auto" w:fill="auto"/>
            <w:vAlign w:val="bottom"/>
            <w:hideMark/>
          </w:tcPr>
          <w:p w14:paraId="05E35E19" w14:textId="77777777" w:rsidR="0086262D" w:rsidRPr="006148E8" w:rsidRDefault="0086262D" w:rsidP="006148E8">
            <w:pPr>
              <w:jc w:val="both"/>
              <w:rPr>
                <w:rFonts w:eastAsia="Times New Roman" w:cstheme="majorHAnsi"/>
                <w:color w:val="000000" w:themeColor="text1"/>
                <w:lang w:eastAsia="it-IT"/>
              </w:rPr>
            </w:pPr>
            <w:r w:rsidRPr="006148E8">
              <w:rPr>
                <w:rFonts w:cstheme="majorHAnsi"/>
                <w:color w:val="000000" w:themeColor="text1"/>
              </w:rPr>
              <w:t>Empori</w:t>
            </w:r>
          </w:p>
        </w:tc>
        <w:tc>
          <w:tcPr>
            <w:tcW w:w="1022" w:type="dxa"/>
            <w:tcBorders>
              <w:top w:val="nil"/>
              <w:left w:val="nil"/>
              <w:bottom w:val="single" w:sz="4" w:space="0" w:color="auto"/>
              <w:right w:val="single" w:sz="4" w:space="0" w:color="auto"/>
            </w:tcBorders>
            <w:shd w:val="clear" w:color="auto" w:fill="auto"/>
            <w:noWrap/>
            <w:vAlign w:val="bottom"/>
            <w:hideMark/>
          </w:tcPr>
          <w:p w14:paraId="7E9D9B07"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-111 </w:t>
            </w:r>
          </w:p>
        </w:tc>
        <w:tc>
          <w:tcPr>
            <w:tcW w:w="941" w:type="dxa"/>
            <w:tcBorders>
              <w:top w:val="nil"/>
              <w:left w:val="nil"/>
              <w:bottom w:val="single" w:sz="4" w:space="0" w:color="auto"/>
              <w:right w:val="single" w:sz="4" w:space="0" w:color="auto"/>
            </w:tcBorders>
            <w:shd w:val="clear" w:color="auto" w:fill="auto"/>
            <w:noWrap/>
            <w:vAlign w:val="bottom"/>
            <w:hideMark/>
          </w:tcPr>
          <w:p w14:paraId="7F51535A"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-3,1%</w:t>
            </w:r>
          </w:p>
        </w:tc>
        <w:tc>
          <w:tcPr>
            <w:tcW w:w="989" w:type="dxa"/>
            <w:tcBorders>
              <w:top w:val="nil"/>
              <w:left w:val="nil"/>
              <w:bottom w:val="single" w:sz="4" w:space="0" w:color="auto"/>
              <w:right w:val="single" w:sz="4" w:space="0" w:color="auto"/>
            </w:tcBorders>
            <w:shd w:val="clear" w:color="auto" w:fill="auto"/>
            <w:noWrap/>
            <w:vAlign w:val="bottom"/>
            <w:hideMark/>
          </w:tcPr>
          <w:p w14:paraId="6DF78E9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-110 </w:t>
            </w:r>
          </w:p>
        </w:tc>
        <w:tc>
          <w:tcPr>
            <w:tcW w:w="909" w:type="dxa"/>
            <w:tcBorders>
              <w:top w:val="nil"/>
              <w:left w:val="nil"/>
              <w:bottom w:val="single" w:sz="4" w:space="0" w:color="auto"/>
              <w:right w:val="single" w:sz="4" w:space="0" w:color="auto"/>
            </w:tcBorders>
            <w:shd w:val="clear" w:color="auto" w:fill="auto"/>
            <w:noWrap/>
            <w:vAlign w:val="bottom"/>
            <w:hideMark/>
          </w:tcPr>
          <w:p w14:paraId="4D27250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-3,1%</w:t>
            </w:r>
          </w:p>
        </w:tc>
      </w:tr>
      <w:tr w:rsidR="00394C7E" w:rsidRPr="006148E8" w14:paraId="1D1E6692" w14:textId="77777777" w:rsidTr="001763DB">
        <w:trPr>
          <w:trHeight w:val="163"/>
        </w:trPr>
        <w:tc>
          <w:tcPr>
            <w:tcW w:w="5744" w:type="dxa"/>
            <w:tcBorders>
              <w:top w:val="nil"/>
              <w:left w:val="single" w:sz="4" w:space="0" w:color="auto"/>
              <w:bottom w:val="single" w:sz="4" w:space="0" w:color="auto"/>
              <w:right w:val="single" w:sz="4" w:space="0" w:color="auto"/>
            </w:tcBorders>
            <w:shd w:val="clear" w:color="auto" w:fill="auto"/>
            <w:vAlign w:val="bottom"/>
            <w:hideMark/>
          </w:tcPr>
          <w:p w14:paraId="18416F4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Ortofrutta</w:t>
            </w:r>
          </w:p>
        </w:tc>
        <w:tc>
          <w:tcPr>
            <w:tcW w:w="1022" w:type="dxa"/>
            <w:tcBorders>
              <w:top w:val="nil"/>
              <w:left w:val="nil"/>
              <w:bottom w:val="single" w:sz="4" w:space="0" w:color="auto"/>
              <w:right w:val="single" w:sz="4" w:space="0" w:color="auto"/>
            </w:tcBorders>
            <w:shd w:val="clear" w:color="auto" w:fill="auto"/>
            <w:noWrap/>
            <w:vAlign w:val="bottom"/>
            <w:hideMark/>
          </w:tcPr>
          <w:p w14:paraId="215674C6"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-230 </w:t>
            </w:r>
          </w:p>
        </w:tc>
        <w:tc>
          <w:tcPr>
            <w:tcW w:w="941" w:type="dxa"/>
            <w:tcBorders>
              <w:top w:val="nil"/>
              <w:left w:val="nil"/>
              <w:bottom w:val="single" w:sz="4" w:space="0" w:color="auto"/>
              <w:right w:val="single" w:sz="4" w:space="0" w:color="auto"/>
            </w:tcBorders>
            <w:shd w:val="clear" w:color="auto" w:fill="auto"/>
            <w:noWrap/>
            <w:vAlign w:val="bottom"/>
            <w:hideMark/>
          </w:tcPr>
          <w:p w14:paraId="0CCA871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-4,7%</w:t>
            </w:r>
          </w:p>
        </w:tc>
        <w:tc>
          <w:tcPr>
            <w:tcW w:w="989" w:type="dxa"/>
            <w:tcBorders>
              <w:top w:val="nil"/>
              <w:left w:val="nil"/>
              <w:bottom w:val="single" w:sz="4" w:space="0" w:color="auto"/>
              <w:right w:val="single" w:sz="4" w:space="0" w:color="auto"/>
            </w:tcBorders>
            <w:shd w:val="clear" w:color="auto" w:fill="auto"/>
            <w:noWrap/>
            <w:vAlign w:val="bottom"/>
            <w:hideMark/>
          </w:tcPr>
          <w:p w14:paraId="50ACD81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-297 </w:t>
            </w:r>
          </w:p>
        </w:tc>
        <w:tc>
          <w:tcPr>
            <w:tcW w:w="909" w:type="dxa"/>
            <w:tcBorders>
              <w:top w:val="nil"/>
              <w:left w:val="nil"/>
              <w:bottom w:val="single" w:sz="4" w:space="0" w:color="auto"/>
              <w:right w:val="single" w:sz="4" w:space="0" w:color="auto"/>
            </w:tcBorders>
            <w:shd w:val="clear" w:color="auto" w:fill="auto"/>
            <w:noWrap/>
            <w:vAlign w:val="bottom"/>
            <w:hideMark/>
          </w:tcPr>
          <w:p w14:paraId="11EBC62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-6,0%</w:t>
            </w:r>
          </w:p>
        </w:tc>
      </w:tr>
      <w:tr w:rsidR="00394C7E" w:rsidRPr="006148E8" w14:paraId="65499DE6" w14:textId="77777777" w:rsidTr="001763DB">
        <w:trPr>
          <w:trHeight w:val="328"/>
        </w:trPr>
        <w:tc>
          <w:tcPr>
            <w:tcW w:w="5744" w:type="dxa"/>
            <w:tcBorders>
              <w:top w:val="nil"/>
              <w:left w:val="single" w:sz="4" w:space="0" w:color="auto"/>
              <w:bottom w:val="single" w:sz="4" w:space="0" w:color="auto"/>
              <w:right w:val="single" w:sz="4" w:space="0" w:color="auto"/>
            </w:tcBorders>
            <w:shd w:val="clear" w:color="auto" w:fill="auto"/>
            <w:vAlign w:val="bottom"/>
            <w:hideMark/>
          </w:tcPr>
          <w:p w14:paraId="3251A7B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Macellerie</w:t>
            </w:r>
          </w:p>
        </w:tc>
        <w:tc>
          <w:tcPr>
            <w:tcW w:w="1022" w:type="dxa"/>
            <w:tcBorders>
              <w:top w:val="nil"/>
              <w:left w:val="nil"/>
              <w:bottom w:val="single" w:sz="4" w:space="0" w:color="auto"/>
              <w:right w:val="single" w:sz="4" w:space="0" w:color="auto"/>
            </w:tcBorders>
            <w:shd w:val="clear" w:color="auto" w:fill="auto"/>
            <w:noWrap/>
            <w:vAlign w:val="bottom"/>
            <w:hideMark/>
          </w:tcPr>
          <w:p w14:paraId="019ACAB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-2.303 </w:t>
            </w:r>
          </w:p>
        </w:tc>
        <w:tc>
          <w:tcPr>
            <w:tcW w:w="941" w:type="dxa"/>
            <w:tcBorders>
              <w:top w:val="nil"/>
              <w:left w:val="nil"/>
              <w:bottom w:val="single" w:sz="4" w:space="0" w:color="auto"/>
              <w:right w:val="single" w:sz="4" w:space="0" w:color="auto"/>
            </w:tcBorders>
            <w:shd w:val="clear" w:color="auto" w:fill="auto"/>
            <w:noWrap/>
            <w:vAlign w:val="bottom"/>
            <w:hideMark/>
          </w:tcPr>
          <w:p w14:paraId="2A5F24F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-18,4%</w:t>
            </w:r>
          </w:p>
        </w:tc>
        <w:tc>
          <w:tcPr>
            <w:tcW w:w="989" w:type="dxa"/>
            <w:tcBorders>
              <w:top w:val="nil"/>
              <w:left w:val="nil"/>
              <w:bottom w:val="single" w:sz="4" w:space="0" w:color="auto"/>
              <w:right w:val="single" w:sz="4" w:space="0" w:color="auto"/>
            </w:tcBorders>
            <w:shd w:val="clear" w:color="auto" w:fill="auto"/>
            <w:noWrap/>
            <w:vAlign w:val="bottom"/>
            <w:hideMark/>
          </w:tcPr>
          <w:p w14:paraId="1F1A262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-1.158 </w:t>
            </w:r>
          </w:p>
        </w:tc>
        <w:tc>
          <w:tcPr>
            <w:tcW w:w="909" w:type="dxa"/>
            <w:tcBorders>
              <w:top w:val="nil"/>
              <w:left w:val="nil"/>
              <w:bottom w:val="single" w:sz="4" w:space="0" w:color="auto"/>
              <w:right w:val="single" w:sz="4" w:space="0" w:color="auto"/>
            </w:tcBorders>
            <w:shd w:val="clear" w:color="auto" w:fill="auto"/>
            <w:noWrap/>
            <w:vAlign w:val="bottom"/>
            <w:hideMark/>
          </w:tcPr>
          <w:p w14:paraId="4937306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-10,2%</w:t>
            </w:r>
          </w:p>
        </w:tc>
      </w:tr>
      <w:tr w:rsidR="00394C7E" w:rsidRPr="006148E8" w14:paraId="3FC85878" w14:textId="77777777" w:rsidTr="001763DB">
        <w:trPr>
          <w:trHeight w:val="163"/>
        </w:trPr>
        <w:tc>
          <w:tcPr>
            <w:tcW w:w="5744" w:type="dxa"/>
            <w:tcBorders>
              <w:top w:val="nil"/>
              <w:left w:val="single" w:sz="4" w:space="0" w:color="auto"/>
              <w:bottom w:val="single" w:sz="4" w:space="0" w:color="auto"/>
              <w:right w:val="single" w:sz="4" w:space="0" w:color="auto"/>
            </w:tcBorders>
            <w:shd w:val="clear" w:color="auto" w:fill="auto"/>
            <w:vAlign w:val="bottom"/>
            <w:hideMark/>
          </w:tcPr>
          <w:p w14:paraId="543B700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Pescherie</w:t>
            </w:r>
          </w:p>
        </w:tc>
        <w:tc>
          <w:tcPr>
            <w:tcW w:w="1022" w:type="dxa"/>
            <w:tcBorders>
              <w:top w:val="nil"/>
              <w:left w:val="nil"/>
              <w:bottom w:val="single" w:sz="4" w:space="0" w:color="auto"/>
              <w:right w:val="single" w:sz="4" w:space="0" w:color="auto"/>
            </w:tcBorders>
            <w:shd w:val="clear" w:color="auto" w:fill="auto"/>
            <w:noWrap/>
            <w:vAlign w:val="bottom"/>
            <w:hideMark/>
          </w:tcPr>
          <w:p w14:paraId="074660F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-229 </w:t>
            </w:r>
          </w:p>
        </w:tc>
        <w:tc>
          <w:tcPr>
            <w:tcW w:w="941" w:type="dxa"/>
            <w:tcBorders>
              <w:top w:val="nil"/>
              <w:left w:val="nil"/>
              <w:bottom w:val="single" w:sz="4" w:space="0" w:color="auto"/>
              <w:right w:val="single" w:sz="4" w:space="0" w:color="auto"/>
            </w:tcBorders>
            <w:shd w:val="clear" w:color="auto" w:fill="auto"/>
            <w:noWrap/>
            <w:vAlign w:val="bottom"/>
            <w:hideMark/>
          </w:tcPr>
          <w:p w14:paraId="3203A19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-10,9%</w:t>
            </w:r>
          </w:p>
        </w:tc>
        <w:tc>
          <w:tcPr>
            <w:tcW w:w="989" w:type="dxa"/>
            <w:tcBorders>
              <w:top w:val="nil"/>
              <w:left w:val="nil"/>
              <w:bottom w:val="single" w:sz="4" w:space="0" w:color="auto"/>
              <w:right w:val="single" w:sz="4" w:space="0" w:color="auto"/>
            </w:tcBorders>
            <w:shd w:val="clear" w:color="auto" w:fill="auto"/>
            <w:noWrap/>
            <w:vAlign w:val="bottom"/>
            <w:hideMark/>
          </w:tcPr>
          <w:p w14:paraId="505A722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-149 </w:t>
            </w:r>
          </w:p>
        </w:tc>
        <w:tc>
          <w:tcPr>
            <w:tcW w:w="909" w:type="dxa"/>
            <w:tcBorders>
              <w:top w:val="nil"/>
              <w:left w:val="nil"/>
              <w:bottom w:val="single" w:sz="4" w:space="0" w:color="auto"/>
              <w:right w:val="single" w:sz="4" w:space="0" w:color="auto"/>
            </w:tcBorders>
            <w:shd w:val="clear" w:color="auto" w:fill="auto"/>
            <w:noWrap/>
            <w:vAlign w:val="bottom"/>
            <w:hideMark/>
          </w:tcPr>
          <w:p w14:paraId="38DADFC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-7,3%</w:t>
            </w:r>
          </w:p>
        </w:tc>
      </w:tr>
      <w:tr w:rsidR="00394C7E" w:rsidRPr="006148E8" w14:paraId="4C791FA3" w14:textId="77777777" w:rsidTr="001763DB">
        <w:trPr>
          <w:trHeight w:val="163"/>
        </w:trPr>
        <w:tc>
          <w:tcPr>
            <w:tcW w:w="5744" w:type="dxa"/>
            <w:tcBorders>
              <w:top w:val="nil"/>
              <w:left w:val="single" w:sz="4" w:space="0" w:color="auto"/>
              <w:bottom w:val="single" w:sz="4" w:space="0" w:color="auto"/>
              <w:right w:val="single" w:sz="4" w:space="0" w:color="auto"/>
            </w:tcBorders>
            <w:shd w:val="clear" w:color="auto" w:fill="auto"/>
            <w:vAlign w:val="bottom"/>
            <w:hideMark/>
          </w:tcPr>
          <w:p w14:paraId="03F6D8C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Panetterie</w:t>
            </w:r>
          </w:p>
        </w:tc>
        <w:tc>
          <w:tcPr>
            <w:tcW w:w="1022" w:type="dxa"/>
            <w:tcBorders>
              <w:top w:val="nil"/>
              <w:left w:val="nil"/>
              <w:bottom w:val="single" w:sz="4" w:space="0" w:color="auto"/>
              <w:right w:val="single" w:sz="4" w:space="0" w:color="auto"/>
            </w:tcBorders>
            <w:shd w:val="clear" w:color="auto" w:fill="auto"/>
            <w:noWrap/>
            <w:vAlign w:val="bottom"/>
            <w:hideMark/>
          </w:tcPr>
          <w:p w14:paraId="2FE5F97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-206 </w:t>
            </w:r>
          </w:p>
        </w:tc>
        <w:tc>
          <w:tcPr>
            <w:tcW w:w="941" w:type="dxa"/>
            <w:tcBorders>
              <w:top w:val="nil"/>
              <w:left w:val="nil"/>
              <w:bottom w:val="single" w:sz="4" w:space="0" w:color="auto"/>
              <w:right w:val="single" w:sz="4" w:space="0" w:color="auto"/>
            </w:tcBorders>
            <w:shd w:val="clear" w:color="auto" w:fill="auto"/>
            <w:noWrap/>
            <w:vAlign w:val="bottom"/>
            <w:hideMark/>
          </w:tcPr>
          <w:p w14:paraId="24A0418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-17,3%</w:t>
            </w:r>
          </w:p>
        </w:tc>
        <w:tc>
          <w:tcPr>
            <w:tcW w:w="989" w:type="dxa"/>
            <w:tcBorders>
              <w:top w:val="nil"/>
              <w:left w:val="nil"/>
              <w:bottom w:val="single" w:sz="4" w:space="0" w:color="auto"/>
              <w:right w:val="single" w:sz="4" w:space="0" w:color="auto"/>
            </w:tcBorders>
            <w:shd w:val="clear" w:color="auto" w:fill="auto"/>
            <w:noWrap/>
            <w:vAlign w:val="bottom"/>
            <w:hideMark/>
          </w:tcPr>
          <w:p w14:paraId="32FE4563"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-136 </w:t>
            </w:r>
          </w:p>
        </w:tc>
        <w:tc>
          <w:tcPr>
            <w:tcW w:w="909" w:type="dxa"/>
            <w:tcBorders>
              <w:top w:val="nil"/>
              <w:left w:val="nil"/>
              <w:bottom w:val="single" w:sz="4" w:space="0" w:color="auto"/>
              <w:right w:val="single" w:sz="4" w:space="0" w:color="auto"/>
            </w:tcBorders>
            <w:shd w:val="clear" w:color="auto" w:fill="auto"/>
            <w:noWrap/>
            <w:vAlign w:val="bottom"/>
            <w:hideMark/>
          </w:tcPr>
          <w:p w14:paraId="5FB8B80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-12,1%</w:t>
            </w:r>
          </w:p>
        </w:tc>
      </w:tr>
      <w:tr w:rsidR="00394C7E" w:rsidRPr="006148E8" w14:paraId="4E6D884D" w14:textId="77777777" w:rsidTr="001763DB">
        <w:trPr>
          <w:trHeight w:val="163"/>
        </w:trPr>
        <w:tc>
          <w:tcPr>
            <w:tcW w:w="5744" w:type="dxa"/>
            <w:tcBorders>
              <w:top w:val="nil"/>
              <w:left w:val="single" w:sz="4" w:space="0" w:color="auto"/>
              <w:bottom w:val="single" w:sz="4" w:space="0" w:color="auto"/>
              <w:right w:val="single" w:sz="4" w:space="0" w:color="auto"/>
            </w:tcBorders>
            <w:shd w:val="clear" w:color="auto" w:fill="auto"/>
            <w:vAlign w:val="bottom"/>
            <w:hideMark/>
          </w:tcPr>
          <w:p w14:paraId="5DBF9F6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Negozi di Bevande</w:t>
            </w:r>
          </w:p>
        </w:tc>
        <w:tc>
          <w:tcPr>
            <w:tcW w:w="1022" w:type="dxa"/>
            <w:tcBorders>
              <w:top w:val="nil"/>
              <w:left w:val="nil"/>
              <w:bottom w:val="single" w:sz="4" w:space="0" w:color="auto"/>
              <w:right w:val="single" w:sz="4" w:space="0" w:color="auto"/>
            </w:tcBorders>
            <w:shd w:val="clear" w:color="auto" w:fill="auto"/>
            <w:noWrap/>
            <w:vAlign w:val="bottom"/>
            <w:hideMark/>
          </w:tcPr>
          <w:p w14:paraId="1B5347E7"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-67 </w:t>
            </w:r>
          </w:p>
        </w:tc>
        <w:tc>
          <w:tcPr>
            <w:tcW w:w="941" w:type="dxa"/>
            <w:tcBorders>
              <w:top w:val="nil"/>
              <w:left w:val="nil"/>
              <w:bottom w:val="single" w:sz="4" w:space="0" w:color="auto"/>
              <w:right w:val="single" w:sz="4" w:space="0" w:color="auto"/>
            </w:tcBorders>
            <w:shd w:val="clear" w:color="auto" w:fill="auto"/>
            <w:noWrap/>
            <w:vAlign w:val="bottom"/>
            <w:hideMark/>
          </w:tcPr>
          <w:p w14:paraId="64FA2AB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-3,9%</w:t>
            </w:r>
          </w:p>
        </w:tc>
        <w:tc>
          <w:tcPr>
            <w:tcW w:w="989" w:type="dxa"/>
            <w:tcBorders>
              <w:top w:val="nil"/>
              <w:left w:val="nil"/>
              <w:bottom w:val="single" w:sz="4" w:space="0" w:color="auto"/>
              <w:right w:val="single" w:sz="4" w:space="0" w:color="auto"/>
            </w:tcBorders>
            <w:shd w:val="clear" w:color="auto" w:fill="auto"/>
            <w:noWrap/>
            <w:vAlign w:val="bottom"/>
            <w:hideMark/>
          </w:tcPr>
          <w:p w14:paraId="6C4527A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-51 </w:t>
            </w:r>
          </w:p>
        </w:tc>
        <w:tc>
          <w:tcPr>
            <w:tcW w:w="909" w:type="dxa"/>
            <w:tcBorders>
              <w:top w:val="nil"/>
              <w:left w:val="nil"/>
              <w:bottom w:val="single" w:sz="4" w:space="0" w:color="auto"/>
              <w:right w:val="single" w:sz="4" w:space="0" w:color="auto"/>
            </w:tcBorders>
            <w:shd w:val="clear" w:color="auto" w:fill="auto"/>
            <w:noWrap/>
            <w:vAlign w:val="bottom"/>
            <w:hideMark/>
          </w:tcPr>
          <w:p w14:paraId="340F6A4B"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-3,0%</w:t>
            </w:r>
          </w:p>
        </w:tc>
      </w:tr>
      <w:tr w:rsidR="00394C7E" w:rsidRPr="006148E8" w14:paraId="3F2EB8CC" w14:textId="77777777" w:rsidTr="001763DB">
        <w:trPr>
          <w:trHeight w:val="328"/>
        </w:trPr>
        <w:tc>
          <w:tcPr>
            <w:tcW w:w="5744" w:type="dxa"/>
            <w:tcBorders>
              <w:top w:val="nil"/>
              <w:left w:val="single" w:sz="4" w:space="0" w:color="auto"/>
              <w:bottom w:val="single" w:sz="4" w:space="0" w:color="auto"/>
              <w:right w:val="single" w:sz="4" w:space="0" w:color="auto"/>
            </w:tcBorders>
            <w:shd w:val="clear" w:color="auto" w:fill="auto"/>
            <w:vAlign w:val="bottom"/>
            <w:hideMark/>
          </w:tcPr>
          <w:p w14:paraId="5B12CFA2"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lastRenderedPageBreak/>
              <w:t>Tabaccherie</w:t>
            </w:r>
          </w:p>
        </w:tc>
        <w:tc>
          <w:tcPr>
            <w:tcW w:w="1022" w:type="dxa"/>
            <w:tcBorders>
              <w:top w:val="nil"/>
              <w:left w:val="nil"/>
              <w:bottom w:val="single" w:sz="4" w:space="0" w:color="auto"/>
              <w:right w:val="single" w:sz="4" w:space="0" w:color="auto"/>
            </w:tcBorders>
            <w:shd w:val="clear" w:color="auto" w:fill="auto"/>
            <w:noWrap/>
            <w:vAlign w:val="bottom"/>
            <w:hideMark/>
          </w:tcPr>
          <w:p w14:paraId="7BB455A3"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634 </w:t>
            </w:r>
          </w:p>
        </w:tc>
        <w:tc>
          <w:tcPr>
            <w:tcW w:w="941" w:type="dxa"/>
            <w:tcBorders>
              <w:top w:val="nil"/>
              <w:left w:val="nil"/>
              <w:bottom w:val="single" w:sz="4" w:space="0" w:color="auto"/>
              <w:right w:val="single" w:sz="4" w:space="0" w:color="auto"/>
            </w:tcBorders>
            <w:shd w:val="clear" w:color="auto" w:fill="auto"/>
            <w:noWrap/>
            <w:vAlign w:val="bottom"/>
            <w:hideMark/>
          </w:tcPr>
          <w:p w14:paraId="50463B9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4,9%</w:t>
            </w:r>
          </w:p>
        </w:tc>
        <w:tc>
          <w:tcPr>
            <w:tcW w:w="989" w:type="dxa"/>
            <w:tcBorders>
              <w:top w:val="nil"/>
              <w:left w:val="nil"/>
              <w:bottom w:val="single" w:sz="4" w:space="0" w:color="auto"/>
              <w:right w:val="single" w:sz="4" w:space="0" w:color="auto"/>
            </w:tcBorders>
            <w:shd w:val="clear" w:color="auto" w:fill="auto"/>
            <w:noWrap/>
            <w:vAlign w:val="bottom"/>
            <w:hideMark/>
          </w:tcPr>
          <w:p w14:paraId="3169B10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-122 </w:t>
            </w:r>
          </w:p>
        </w:tc>
        <w:tc>
          <w:tcPr>
            <w:tcW w:w="909" w:type="dxa"/>
            <w:tcBorders>
              <w:top w:val="nil"/>
              <w:left w:val="nil"/>
              <w:bottom w:val="single" w:sz="4" w:space="0" w:color="auto"/>
              <w:right w:val="single" w:sz="4" w:space="0" w:color="auto"/>
            </w:tcBorders>
            <w:shd w:val="clear" w:color="auto" w:fill="auto"/>
            <w:noWrap/>
            <w:vAlign w:val="bottom"/>
            <w:hideMark/>
          </w:tcPr>
          <w:p w14:paraId="3EB84B5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-0,9%</w:t>
            </w:r>
          </w:p>
        </w:tc>
      </w:tr>
      <w:tr w:rsidR="00394C7E" w:rsidRPr="006148E8" w14:paraId="7BA5FBCB" w14:textId="77777777" w:rsidTr="001763DB">
        <w:trPr>
          <w:trHeight w:val="328"/>
        </w:trPr>
        <w:tc>
          <w:tcPr>
            <w:tcW w:w="5744" w:type="dxa"/>
            <w:tcBorders>
              <w:top w:val="nil"/>
              <w:left w:val="single" w:sz="4" w:space="0" w:color="auto"/>
              <w:bottom w:val="single" w:sz="4" w:space="0" w:color="auto"/>
              <w:right w:val="single" w:sz="4" w:space="0" w:color="auto"/>
            </w:tcBorders>
            <w:shd w:val="clear" w:color="auto" w:fill="auto"/>
            <w:vAlign w:val="bottom"/>
            <w:hideMark/>
          </w:tcPr>
          <w:p w14:paraId="7E74376F"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Distributori carburanti</w:t>
            </w:r>
          </w:p>
        </w:tc>
        <w:tc>
          <w:tcPr>
            <w:tcW w:w="1022" w:type="dxa"/>
            <w:tcBorders>
              <w:top w:val="nil"/>
              <w:left w:val="nil"/>
              <w:bottom w:val="single" w:sz="4" w:space="0" w:color="auto"/>
              <w:right w:val="single" w:sz="4" w:space="0" w:color="auto"/>
            </w:tcBorders>
            <w:shd w:val="clear" w:color="auto" w:fill="auto"/>
            <w:noWrap/>
            <w:vAlign w:val="bottom"/>
            <w:hideMark/>
          </w:tcPr>
          <w:p w14:paraId="4B7F888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-1.997 </w:t>
            </w:r>
          </w:p>
        </w:tc>
        <w:tc>
          <w:tcPr>
            <w:tcW w:w="941" w:type="dxa"/>
            <w:tcBorders>
              <w:top w:val="nil"/>
              <w:left w:val="nil"/>
              <w:bottom w:val="single" w:sz="4" w:space="0" w:color="auto"/>
              <w:right w:val="single" w:sz="4" w:space="0" w:color="auto"/>
            </w:tcBorders>
            <w:shd w:val="clear" w:color="auto" w:fill="auto"/>
            <w:noWrap/>
            <w:vAlign w:val="bottom"/>
            <w:hideMark/>
          </w:tcPr>
          <w:p w14:paraId="76A639FF"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-22,6%</w:t>
            </w:r>
          </w:p>
        </w:tc>
        <w:tc>
          <w:tcPr>
            <w:tcW w:w="989" w:type="dxa"/>
            <w:tcBorders>
              <w:top w:val="nil"/>
              <w:left w:val="nil"/>
              <w:bottom w:val="single" w:sz="4" w:space="0" w:color="auto"/>
              <w:right w:val="single" w:sz="4" w:space="0" w:color="auto"/>
            </w:tcBorders>
            <w:shd w:val="clear" w:color="auto" w:fill="auto"/>
            <w:noWrap/>
            <w:vAlign w:val="bottom"/>
            <w:hideMark/>
          </w:tcPr>
          <w:p w14:paraId="620BF55A"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-865 </w:t>
            </w:r>
          </w:p>
        </w:tc>
        <w:tc>
          <w:tcPr>
            <w:tcW w:w="909" w:type="dxa"/>
            <w:tcBorders>
              <w:top w:val="nil"/>
              <w:left w:val="nil"/>
              <w:bottom w:val="single" w:sz="4" w:space="0" w:color="auto"/>
              <w:right w:val="single" w:sz="4" w:space="0" w:color="auto"/>
            </w:tcBorders>
            <w:shd w:val="clear" w:color="auto" w:fill="auto"/>
            <w:noWrap/>
            <w:vAlign w:val="bottom"/>
            <w:hideMark/>
          </w:tcPr>
          <w:p w14:paraId="7FD0785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-11,2%</w:t>
            </w:r>
          </w:p>
        </w:tc>
      </w:tr>
      <w:tr w:rsidR="00394C7E" w:rsidRPr="006148E8" w14:paraId="49FD5655" w14:textId="77777777" w:rsidTr="001763DB">
        <w:trPr>
          <w:trHeight w:val="328"/>
        </w:trPr>
        <w:tc>
          <w:tcPr>
            <w:tcW w:w="5744" w:type="dxa"/>
            <w:tcBorders>
              <w:top w:val="nil"/>
              <w:left w:val="single" w:sz="4" w:space="0" w:color="auto"/>
              <w:bottom w:val="single" w:sz="4" w:space="0" w:color="auto"/>
              <w:right w:val="single" w:sz="4" w:space="0" w:color="auto"/>
            </w:tcBorders>
            <w:shd w:val="clear" w:color="auto" w:fill="auto"/>
            <w:vAlign w:val="bottom"/>
            <w:hideMark/>
          </w:tcPr>
          <w:p w14:paraId="29B9988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Ferramenta</w:t>
            </w:r>
          </w:p>
        </w:tc>
        <w:tc>
          <w:tcPr>
            <w:tcW w:w="1022" w:type="dxa"/>
            <w:tcBorders>
              <w:top w:val="nil"/>
              <w:left w:val="nil"/>
              <w:bottom w:val="single" w:sz="4" w:space="0" w:color="auto"/>
              <w:right w:val="single" w:sz="4" w:space="0" w:color="auto"/>
            </w:tcBorders>
            <w:shd w:val="clear" w:color="auto" w:fill="auto"/>
            <w:noWrap/>
            <w:vAlign w:val="bottom"/>
            <w:hideMark/>
          </w:tcPr>
          <w:p w14:paraId="501E322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-1.085 </w:t>
            </w:r>
          </w:p>
        </w:tc>
        <w:tc>
          <w:tcPr>
            <w:tcW w:w="941" w:type="dxa"/>
            <w:tcBorders>
              <w:top w:val="nil"/>
              <w:left w:val="nil"/>
              <w:bottom w:val="single" w:sz="4" w:space="0" w:color="auto"/>
              <w:right w:val="single" w:sz="4" w:space="0" w:color="auto"/>
            </w:tcBorders>
            <w:shd w:val="clear" w:color="auto" w:fill="auto"/>
            <w:noWrap/>
            <w:vAlign w:val="bottom"/>
            <w:hideMark/>
          </w:tcPr>
          <w:p w14:paraId="3177400A"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-15,3%</w:t>
            </w:r>
          </w:p>
        </w:tc>
        <w:tc>
          <w:tcPr>
            <w:tcW w:w="989" w:type="dxa"/>
            <w:tcBorders>
              <w:top w:val="nil"/>
              <w:left w:val="nil"/>
              <w:bottom w:val="single" w:sz="4" w:space="0" w:color="auto"/>
              <w:right w:val="single" w:sz="4" w:space="0" w:color="auto"/>
            </w:tcBorders>
            <w:shd w:val="clear" w:color="auto" w:fill="auto"/>
            <w:noWrap/>
            <w:vAlign w:val="bottom"/>
            <w:hideMark/>
          </w:tcPr>
          <w:p w14:paraId="46E07DC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-593 </w:t>
            </w:r>
          </w:p>
        </w:tc>
        <w:tc>
          <w:tcPr>
            <w:tcW w:w="909" w:type="dxa"/>
            <w:tcBorders>
              <w:top w:val="nil"/>
              <w:left w:val="nil"/>
              <w:bottom w:val="single" w:sz="4" w:space="0" w:color="auto"/>
              <w:right w:val="single" w:sz="4" w:space="0" w:color="auto"/>
            </w:tcBorders>
            <w:shd w:val="clear" w:color="auto" w:fill="auto"/>
            <w:noWrap/>
            <w:vAlign w:val="bottom"/>
            <w:hideMark/>
          </w:tcPr>
          <w:p w14:paraId="2D44F87B"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-9,0%</w:t>
            </w:r>
          </w:p>
        </w:tc>
      </w:tr>
      <w:tr w:rsidR="00394C7E" w:rsidRPr="006148E8" w14:paraId="4E964053" w14:textId="77777777" w:rsidTr="001763DB">
        <w:trPr>
          <w:trHeight w:val="328"/>
        </w:trPr>
        <w:tc>
          <w:tcPr>
            <w:tcW w:w="5744" w:type="dxa"/>
            <w:tcBorders>
              <w:top w:val="nil"/>
              <w:left w:val="single" w:sz="4" w:space="0" w:color="auto"/>
              <w:bottom w:val="single" w:sz="4" w:space="0" w:color="auto"/>
              <w:right w:val="single" w:sz="4" w:space="0" w:color="auto"/>
            </w:tcBorders>
            <w:shd w:val="clear" w:color="auto" w:fill="auto"/>
            <w:vAlign w:val="bottom"/>
            <w:hideMark/>
          </w:tcPr>
          <w:p w14:paraId="16E5D7F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Librerie</w:t>
            </w:r>
          </w:p>
        </w:tc>
        <w:tc>
          <w:tcPr>
            <w:tcW w:w="1022" w:type="dxa"/>
            <w:tcBorders>
              <w:top w:val="nil"/>
              <w:left w:val="nil"/>
              <w:bottom w:val="single" w:sz="4" w:space="0" w:color="auto"/>
              <w:right w:val="single" w:sz="4" w:space="0" w:color="auto"/>
            </w:tcBorders>
            <w:shd w:val="clear" w:color="auto" w:fill="auto"/>
            <w:noWrap/>
            <w:vAlign w:val="bottom"/>
            <w:hideMark/>
          </w:tcPr>
          <w:p w14:paraId="0A9A02F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-72 </w:t>
            </w:r>
          </w:p>
        </w:tc>
        <w:tc>
          <w:tcPr>
            <w:tcW w:w="941" w:type="dxa"/>
            <w:tcBorders>
              <w:top w:val="nil"/>
              <w:left w:val="nil"/>
              <w:bottom w:val="single" w:sz="4" w:space="0" w:color="auto"/>
              <w:right w:val="single" w:sz="4" w:space="0" w:color="auto"/>
            </w:tcBorders>
            <w:shd w:val="clear" w:color="auto" w:fill="auto"/>
            <w:noWrap/>
            <w:vAlign w:val="bottom"/>
            <w:hideMark/>
          </w:tcPr>
          <w:p w14:paraId="517032A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-7,5%</w:t>
            </w:r>
          </w:p>
        </w:tc>
        <w:tc>
          <w:tcPr>
            <w:tcW w:w="989" w:type="dxa"/>
            <w:tcBorders>
              <w:top w:val="nil"/>
              <w:left w:val="nil"/>
              <w:bottom w:val="single" w:sz="4" w:space="0" w:color="auto"/>
              <w:right w:val="single" w:sz="4" w:space="0" w:color="auto"/>
            </w:tcBorders>
            <w:shd w:val="clear" w:color="auto" w:fill="auto"/>
            <w:noWrap/>
            <w:vAlign w:val="bottom"/>
            <w:hideMark/>
          </w:tcPr>
          <w:p w14:paraId="58539BE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10 </w:t>
            </w:r>
          </w:p>
        </w:tc>
        <w:tc>
          <w:tcPr>
            <w:tcW w:w="909" w:type="dxa"/>
            <w:tcBorders>
              <w:top w:val="nil"/>
              <w:left w:val="nil"/>
              <w:bottom w:val="single" w:sz="4" w:space="0" w:color="auto"/>
              <w:right w:val="single" w:sz="4" w:space="0" w:color="auto"/>
            </w:tcBorders>
            <w:shd w:val="clear" w:color="auto" w:fill="auto"/>
            <w:noWrap/>
            <w:vAlign w:val="bottom"/>
            <w:hideMark/>
          </w:tcPr>
          <w:p w14:paraId="1A912DC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1,1%</w:t>
            </w:r>
          </w:p>
        </w:tc>
      </w:tr>
      <w:tr w:rsidR="00394C7E" w:rsidRPr="006148E8" w14:paraId="54A472DD" w14:textId="77777777" w:rsidTr="001763DB">
        <w:trPr>
          <w:trHeight w:val="163"/>
        </w:trPr>
        <w:tc>
          <w:tcPr>
            <w:tcW w:w="5744" w:type="dxa"/>
            <w:tcBorders>
              <w:top w:val="nil"/>
              <w:left w:val="single" w:sz="4" w:space="0" w:color="auto"/>
              <w:bottom w:val="single" w:sz="4" w:space="0" w:color="auto"/>
              <w:right w:val="single" w:sz="4" w:space="0" w:color="auto"/>
            </w:tcBorders>
            <w:shd w:val="clear" w:color="auto" w:fill="auto"/>
            <w:vAlign w:val="bottom"/>
            <w:hideMark/>
          </w:tcPr>
          <w:p w14:paraId="752E94DA"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Giornalai</w:t>
            </w:r>
          </w:p>
        </w:tc>
        <w:tc>
          <w:tcPr>
            <w:tcW w:w="1022" w:type="dxa"/>
            <w:tcBorders>
              <w:top w:val="nil"/>
              <w:left w:val="nil"/>
              <w:bottom w:val="single" w:sz="4" w:space="0" w:color="auto"/>
              <w:right w:val="single" w:sz="4" w:space="0" w:color="auto"/>
            </w:tcBorders>
            <w:shd w:val="clear" w:color="auto" w:fill="auto"/>
            <w:noWrap/>
            <w:vAlign w:val="bottom"/>
            <w:hideMark/>
          </w:tcPr>
          <w:p w14:paraId="17117432"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-1.574 </w:t>
            </w:r>
          </w:p>
        </w:tc>
        <w:tc>
          <w:tcPr>
            <w:tcW w:w="941" w:type="dxa"/>
            <w:tcBorders>
              <w:top w:val="nil"/>
              <w:left w:val="nil"/>
              <w:bottom w:val="single" w:sz="4" w:space="0" w:color="auto"/>
              <w:right w:val="single" w:sz="4" w:space="0" w:color="auto"/>
            </w:tcBorders>
            <w:shd w:val="clear" w:color="auto" w:fill="auto"/>
            <w:noWrap/>
            <w:vAlign w:val="bottom"/>
            <w:hideMark/>
          </w:tcPr>
          <w:p w14:paraId="13A36587"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-30,3%</w:t>
            </w:r>
          </w:p>
        </w:tc>
        <w:tc>
          <w:tcPr>
            <w:tcW w:w="989" w:type="dxa"/>
            <w:tcBorders>
              <w:top w:val="nil"/>
              <w:left w:val="nil"/>
              <w:bottom w:val="single" w:sz="4" w:space="0" w:color="auto"/>
              <w:right w:val="single" w:sz="4" w:space="0" w:color="auto"/>
            </w:tcBorders>
            <w:shd w:val="clear" w:color="auto" w:fill="auto"/>
            <w:noWrap/>
            <w:vAlign w:val="bottom"/>
            <w:hideMark/>
          </w:tcPr>
          <w:p w14:paraId="7E7AAAD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-715 </w:t>
            </w:r>
          </w:p>
        </w:tc>
        <w:tc>
          <w:tcPr>
            <w:tcW w:w="909" w:type="dxa"/>
            <w:tcBorders>
              <w:top w:val="nil"/>
              <w:left w:val="nil"/>
              <w:bottom w:val="single" w:sz="4" w:space="0" w:color="auto"/>
              <w:right w:val="single" w:sz="4" w:space="0" w:color="auto"/>
            </w:tcBorders>
            <w:shd w:val="clear" w:color="auto" w:fill="auto"/>
            <w:noWrap/>
            <w:vAlign w:val="bottom"/>
            <w:hideMark/>
          </w:tcPr>
          <w:p w14:paraId="42F88F76"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-16,5%</w:t>
            </w:r>
          </w:p>
        </w:tc>
      </w:tr>
      <w:tr w:rsidR="00394C7E" w:rsidRPr="006148E8" w14:paraId="59E17A91" w14:textId="77777777" w:rsidTr="001763DB">
        <w:trPr>
          <w:trHeight w:val="163"/>
        </w:trPr>
        <w:tc>
          <w:tcPr>
            <w:tcW w:w="5744" w:type="dxa"/>
            <w:tcBorders>
              <w:top w:val="nil"/>
              <w:left w:val="single" w:sz="4" w:space="0" w:color="auto"/>
              <w:bottom w:val="single" w:sz="4" w:space="0" w:color="auto"/>
              <w:right w:val="single" w:sz="4" w:space="0" w:color="auto"/>
            </w:tcBorders>
            <w:shd w:val="clear" w:color="auto" w:fill="auto"/>
            <w:vAlign w:val="bottom"/>
            <w:hideMark/>
          </w:tcPr>
          <w:p w14:paraId="43D76FB0" w14:textId="77777777" w:rsidR="0086262D" w:rsidRPr="006148E8" w:rsidRDefault="0086262D" w:rsidP="006148E8">
            <w:pPr>
              <w:jc w:val="both"/>
              <w:rPr>
                <w:rFonts w:eastAsia="Times New Roman" w:cstheme="majorHAnsi"/>
                <w:color w:val="000000" w:themeColor="text1"/>
                <w:lang w:eastAsia="it-IT"/>
              </w:rPr>
            </w:pPr>
            <w:r w:rsidRPr="006148E8">
              <w:rPr>
                <w:rFonts w:cstheme="majorHAnsi"/>
                <w:color w:val="000000" w:themeColor="text1"/>
              </w:rPr>
              <w:t>Confezioni per adulti</w:t>
            </w:r>
          </w:p>
        </w:tc>
        <w:tc>
          <w:tcPr>
            <w:tcW w:w="1022" w:type="dxa"/>
            <w:tcBorders>
              <w:top w:val="nil"/>
              <w:left w:val="nil"/>
              <w:bottom w:val="single" w:sz="4" w:space="0" w:color="auto"/>
              <w:right w:val="single" w:sz="4" w:space="0" w:color="auto"/>
            </w:tcBorders>
            <w:shd w:val="clear" w:color="auto" w:fill="auto"/>
            <w:noWrap/>
            <w:vAlign w:val="bottom"/>
            <w:hideMark/>
          </w:tcPr>
          <w:p w14:paraId="3AE47FE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2.242 </w:t>
            </w:r>
          </w:p>
        </w:tc>
        <w:tc>
          <w:tcPr>
            <w:tcW w:w="941" w:type="dxa"/>
            <w:tcBorders>
              <w:top w:val="nil"/>
              <w:left w:val="nil"/>
              <w:bottom w:val="single" w:sz="4" w:space="0" w:color="auto"/>
              <w:right w:val="single" w:sz="4" w:space="0" w:color="auto"/>
            </w:tcBorders>
            <w:shd w:val="clear" w:color="auto" w:fill="auto"/>
            <w:noWrap/>
            <w:vAlign w:val="bottom"/>
            <w:hideMark/>
          </w:tcPr>
          <w:p w14:paraId="6B0B163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31,2%</w:t>
            </w:r>
          </w:p>
        </w:tc>
        <w:tc>
          <w:tcPr>
            <w:tcW w:w="989" w:type="dxa"/>
            <w:tcBorders>
              <w:top w:val="nil"/>
              <w:left w:val="nil"/>
              <w:bottom w:val="single" w:sz="4" w:space="0" w:color="auto"/>
              <w:right w:val="single" w:sz="4" w:space="0" w:color="auto"/>
            </w:tcBorders>
            <w:shd w:val="clear" w:color="auto" w:fill="auto"/>
            <w:noWrap/>
            <w:vAlign w:val="bottom"/>
            <w:hideMark/>
          </w:tcPr>
          <w:p w14:paraId="235FDAE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583 </w:t>
            </w:r>
          </w:p>
        </w:tc>
        <w:tc>
          <w:tcPr>
            <w:tcW w:w="909" w:type="dxa"/>
            <w:tcBorders>
              <w:top w:val="nil"/>
              <w:left w:val="nil"/>
              <w:bottom w:val="single" w:sz="4" w:space="0" w:color="auto"/>
              <w:right w:val="single" w:sz="4" w:space="0" w:color="auto"/>
            </w:tcBorders>
            <w:shd w:val="clear" w:color="auto" w:fill="auto"/>
            <w:noWrap/>
            <w:vAlign w:val="bottom"/>
            <w:hideMark/>
          </w:tcPr>
          <w:p w14:paraId="2F5E90B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6,6%</w:t>
            </w:r>
          </w:p>
        </w:tc>
      </w:tr>
      <w:tr w:rsidR="00394C7E" w:rsidRPr="006148E8" w14:paraId="41B9CD53" w14:textId="77777777" w:rsidTr="001763DB">
        <w:trPr>
          <w:trHeight w:val="328"/>
        </w:trPr>
        <w:tc>
          <w:tcPr>
            <w:tcW w:w="5744" w:type="dxa"/>
            <w:tcBorders>
              <w:top w:val="nil"/>
              <w:left w:val="single" w:sz="4" w:space="0" w:color="auto"/>
              <w:bottom w:val="single" w:sz="4" w:space="0" w:color="auto"/>
              <w:right w:val="single" w:sz="4" w:space="0" w:color="auto"/>
            </w:tcBorders>
            <w:shd w:val="clear" w:color="auto" w:fill="auto"/>
            <w:vAlign w:val="bottom"/>
            <w:hideMark/>
          </w:tcPr>
          <w:p w14:paraId="3A27E33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Confezioni per bambini e neonati</w:t>
            </w:r>
          </w:p>
        </w:tc>
        <w:tc>
          <w:tcPr>
            <w:tcW w:w="1022" w:type="dxa"/>
            <w:tcBorders>
              <w:top w:val="nil"/>
              <w:left w:val="nil"/>
              <w:bottom w:val="single" w:sz="4" w:space="0" w:color="auto"/>
              <w:right w:val="single" w:sz="4" w:space="0" w:color="auto"/>
            </w:tcBorders>
            <w:shd w:val="clear" w:color="auto" w:fill="auto"/>
            <w:noWrap/>
            <w:vAlign w:val="bottom"/>
            <w:hideMark/>
          </w:tcPr>
          <w:p w14:paraId="2744AD5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-324 </w:t>
            </w:r>
          </w:p>
        </w:tc>
        <w:tc>
          <w:tcPr>
            <w:tcW w:w="941" w:type="dxa"/>
            <w:tcBorders>
              <w:top w:val="nil"/>
              <w:left w:val="nil"/>
              <w:bottom w:val="single" w:sz="4" w:space="0" w:color="auto"/>
              <w:right w:val="single" w:sz="4" w:space="0" w:color="auto"/>
            </w:tcBorders>
            <w:shd w:val="clear" w:color="auto" w:fill="auto"/>
            <w:noWrap/>
            <w:vAlign w:val="bottom"/>
            <w:hideMark/>
          </w:tcPr>
          <w:p w14:paraId="10B9CB5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-12,2%</w:t>
            </w:r>
          </w:p>
        </w:tc>
        <w:tc>
          <w:tcPr>
            <w:tcW w:w="989" w:type="dxa"/>
            <w:tcBorders>
              <w:top w:val="nil"/>
              <w:left w:val="nil"/>
              <w:bottom w:val="single" w:sz="4" w:space="0" w:color="auto"/>
              <w:right w:val="single" w:sz="4" w:space="0" w:color="auto"/>
            </w:tcBorders>
            <w:shd w:val="clear" w:color="auto" w:fill="auto"/>
            <w:noWrap/>
            <w:vAlign w:val="bottom"/>
            <w:hideMark/>
          </w:tcPr>
          <w:p w14:paraId="42BA1342"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-139 </w:t>
            </w:r>
          </w:p>
        </w:tc>
        <w:tc>
          <w:tcPr>
            <w:tcW w:w="909" w:type="dxa"/>
            <w:tcBorders>
              <w:top w:val="nil"/>
              <w:left w:val="nil"/>
              <w:bottom w:val="single" w:sz="4" w:space="0" w:color="auto"/>
              <w:right w:val="single" w:sz="4" w:space="0" w:color="auto"/>
            </w:tcBorders>
            <w:shd w:val="clear" w:color="auto" w:fill="auto"/>
            <w:noWrap/>
            <w:vAlign w:val="bottom"/>
            <w:hideMark/>
          </w:tcPr>
          <w:p w14:paraId="7781983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-5,6%</w:t>
            </w:r>
          </w:p>
        </w:tc>
      </w:tr>
      <w:tr w:rsidR="00394C7E" w:rsidRPr="006148E8" w14:paraId="36EC205C" w14:textId="77777777" w:rsidTr="001763DB">
        <w:trPr>
          <w:trHeight w:val="328"/>
        </w:trPr>
        <w:tc>
          <w:tcPr>
            <w:tcW w:w="5744" w:type="dxa"/>
            <w:tcBorders>
              <w:top w:val="nil"/>
              <w:left w:val="single" w:sz="4" w:space="0" w:color="auto"/>
              <w:bottom w:val="single" w:sz="4" w:space="0" w:color="auto"/>
              <w:right w:val="single" w:sz="4" w:space="0" w:color="auto"/>
            </w:tcBorders>
            <w:shd w:val="clear" w:color="auto" w:fill="auto"/>
            <w:vAlign w:val="bottom"/>
            <w:hideMark/>
          </w:tcPr>
          <w:p w14:paraId="1006C45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Biancheria</w:t>
            </w:r>
          </w:p>
        </w:tc>
        <w:tc>
          <w:tcPr>
            <w:tcW w:w="1022" w:type="dxa"/>
            <w:tcBorders>
              <w:top w:val="nil"/>
              <w:left w:val="nil"/>
              <w:bottom w:val="single" w:sz="4" w:space="0" w:color="auto"/>
              <w:right w:val="single" w:sz="4" w:space="0" w:color="auto"/>
            </w:tcBorders>
            <w:shd w:val="clear" w:color="auto" w:fill="auto"/>
            <w:noWrap/>
            <w:vAlign w:val="bottom"/>
            <w:hideMark/>
          </w:tcPr>
          <w:p w14:paraId="6EA7199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-788 </w:t>
            </w:r>
          </w:p>
        </w:tc>
        <w:tc>
          <w:tcPr>
            <w:tcW w:w="941" w:type="dxa"/>
            <w:tcBorders>
              <w:top w:val="nil"/>
              <w:left w:val="nil"/>
              <w:bottom w:val="single" w:sz="4" w:space="0" w:color="auto"/>
              <w:right w:val="single" w:sz="4" w:space="0" w:color="auto"/>
            </w:tcBorders>
            <w:shd w:val="clear" w:color="auto" w:fill="auto"/>
            <w:noWrap/>
            <w:vAlign w:val="bottom"/>
            <w:hideMark/>
          </w:tcPr>
          <w:p w14:paraId="1B8E9E57"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-23,6%</w:t>
            </w:r>
          </w:p>
        </w:tc>
        <w:tc>
          <w:tcPr>
            <w:tcW w:w="989" w:type="dxa"/>
            <w:tcBorders>
              <w:top w:val="nil"/>
              <w:left w:val="nil"/>
              <w:bottom w:val="single" w:sz="4" w:space="0" w:color="auto"/>
              <w:right w:val="single" w:sz="4" w:space="0" w:color="auto"/>
            </w:tcBorders>
            <w:shd w:val="clear" w:color="auto" w:fill="auto"/>
            <w:noWrap/>
            <w:vAlign w:val="bottom"/>
            <w:hideMark/>
          </w:tcPr>
          <w:p w14:paraId="495D1E4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-416 </w:t>
            </w:r>
          </w:p>
        </w:tc>
        <w:tc>
          <w:tcPr>
            <w:tcW w:w="909" w:type="dxa"/>
            <w:tcBorders>
              <w:top w:val="nil"/>
              <w:left w:val="nil"/>
              <w:bottom w:val="single" w:sz="4" w:space="0" w:color="auto"/>
              <w:right w:val="single" w:sz="4" w:space="0" w:color="auto"/>
            </w:tcBorders>
            <w:shd w:val="clear" w:color="auto" w:fill="auto"/>
            <w:noWrap/>
            <w:vAlign w:val="bottom"/>
            <w:hideMark/>
          </w:tcPr>
          <w:p w14:paraId="145FB69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-14,0%</w:t>
            </w:r>
          </w:p>
        </w:tc>
      </w:tr>
      <w:tr w:rsidR="00394C7E" w:rsidRPr="006148E8" w14:paraId="4D4B1992" w14:textId="77777777" w:rsidTr="001763DB">
        <w:trPr>
          <w:trHeight w:val="163"/>
        </w:trPr>
        <w:tc>
          <w:tcPr>
            <w:tcW w:w="5744" w:type="dxa"/>
            <w:tcBorders>
              <w:top w:val="nil"/>
              <w:left w:val="single" w:sz="4" w:space="0" w:color="auto"/>
              <w:bottom w:val="single" w:sz="4" w:space="0" w:color="auto"/>
              <w:right w:val="single" w:sz="4" w:space="0" w:color="auto"/>
            </w:tcBorders>
            <w:shd w:val="clear" w:color="auto" w:fill="auto"/>
            <w:vAlign w:val="bottom"/>
            <w:hideMark/>
          </w:tcPr>
          <w:p w14:paraId="1BA2460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Calzature e accessori</w:t>
            </w:r>
          </w:p>
        </w:tc>
        <w:tc>
          <w:tcPr>
            <w:tcW w:w="1022" w:type="dxa"/>
            <w:tcBorders>
              <w:top w:val="nil"/>
              <w:left w:val="nil"/>
              <w:bottom w:val="single" w:sz="4" w:space="0" w:color="auto"/>
              <w:right w:val="single" w:sz="4" w:space="0" w:color="auto"/>
            </w:tcBorders>
            <w:shd w:val="clear" w:color="auto" w:fill="auto"/>
            <w:noWrap/>
            <w:vAlign w:val="bottom"/>
            <w:hideMark/>
          </w:tcPr>
          <w:p w14:paraId="3B658E3A"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-1.281 </w:t>
            </w:r>
          </w:p>
        </w:tc>
        <w:tc>
          <w:tcPr>
            <w:tcW w:w="941" w:type="dxa"/>
            <w:tcBorders>
              <w:top w:val="nil"/>
              <w:left w:val="nil"/>
              <w:bottom w:val="single" w:sz="4" w:space="0" w:color="auto"/>
              <w:right w:val="single" w:sz="4" w:space="0" w:color="auto"/>
            </w:tcBorders>
            <w:shd w:val="clear" w:color="auto" w:fill="auto"/>
            <w:noWrap/>
            <w:vAlign w:val="bottom"/>
            <w:hideMark/>
          </w:tcPr>
          <w:p w14:paraId="420E216F"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-28,3%</w:t>
            </w:r>
          </w:p>
        </w:tc>
        <w:tc>
          <w:tcPr>
            <w:tcW w:w="989" w:type="dxa"/>
            <w:tcBorders>
              <w:top w:val="nil"/>
              <w:left w:val="nil"/>
              <w:bottom w:val="single" w:sz="4" w:space="0" w:color="auto"/>
              <w:right w:val="single" w:sz="4" w:space="0" w:color="auto"/>
            </w:tcBorders>
            <w:shd w:val="clear" w:color="auto" w:fill="auto"/>
            <w:noWrap/>
            <w:vAlign w:val="bottom"/>
            <w:hideMark/>
          </w:tcPr>
          <w:p w14:paraId="33257B6A"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-611 </w:t>
            </w:r>
          </w:p>
        </w:tc>
        <w:tc>
          <w:tcPr>
            <w:tcW w:w="909" w:type="dxa"/>
            <w:tcBorders>
              <w:top w:val="nil"/>
              <w:left w:val="nil"/>
              <w:bottom w:val="single" w:sz="4" w:space="0" w:color="auto"/>
              <w:right w:val="single" w:sz="4" w:space="0" w:color="auto"/>
            </w:tcBorders>
            <w:shd w:val="clear" w:color="auto" w:fill="auto"/>
            <w:noWrap/>
            <w:vAlign w:val="bottom"/>
            <w:hideMark/>
          </w:tcPr>
          <w:p w14:paraId="3FFC4E0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-15,8%</w:t>
            </w:r>
          </w:p>
        </w:tc>
      </w:tr>
      <w:tr w:rsidR="00394C7E" w:rsidRPr="006148E8" w14:paraId="475455C6" w14:textId="77777777" w:rsidTr="001763DB">
        <w:trPr>
          <w:trHeight w:val="163"/>
        </w:trPr>
        <w:tc>
          <w:tcPr>
            <w:tcW w:w="5744" w:type="dxa"/>
            <w:tcBorders>
              <w:top w:val="nil"/>
              <w:left w:val="single" w:sz="4" w:space="0" w:color="auto"/>
              <w:bottom w:val="single" w:sz="4" w:space="0" w:color="auto"/>
              <w:right w:val="single" w:sz="4" w:space="0" w:color="auto"/>
            </w:tcBorders>
            <w:shd w:val="clear" w:color="auto" w:fill="auto"/>
            <w:vAlign w:val="bottom"/>
            <w:hideMark/>
          </w:tcPr>
          <w:p w14:paraId="5520CF8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Bar</w:t>
            </w:r>
          </w:p>
        </w:tc>
        <w:tc>
          <w:tcPr>
            <w:tcW w:w="1022" w:type="dxa"/>
            <w:tcBorders>
              <w:top w:val="nil"/>
              <w:left w:val="nil"/>
              <w:bottom w:val="single" w:sz="4" w:space="0" w:color="auto"/>
              <w:right w:val="single" w:sz="4" w:space="0" w:color="auto"/>
            </w:tcBorders>
            <w:shd w:val="clear" w:color="auto" w:fill="auto"/>
            <w:noWrap/>
            <w:vAlign w:val="bottom"/>
            <w:hideMark/>
          </w:tcPr>
          <w:p w14:paraId="66C55D0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-7.616 </w:t>
            </w:r>
          </w:p>
        </w:tc>
        <w:tc>
          <w:tcPr>
            <w:tcW w:w="941" w:type="dxa"/>
            <w:tcBorders>
              <w:top w:val="nil"/>
              <w:left w:val="nil"/>
              <w:bottom w:val="single" w:sz="4" w:space="0" w:color="auto"/>
              <w:right w:val="single" w:sz="4" w:space="0" w:color="auto"/>
            </w:tcBorders>
            <w:shd w:val="clear" w:color="auto" w:fill="auto"/>
            <w:noWrap/>
            <w:vAlign w:val="bottom"/>
            <w:hideMark/>
          </w:tcPr>
          <w:p w14:paraId="3C8FD01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-12,0%</w:t>
            </w:r>
          </w:p>
        </w:tc>
        <w:tc>
          <w:tcPr>
            <w:tcW w:w="989" w:type="dxa"/>
            <w:tcBorders>
              <w:top w:val="nil"/>
              <w:left w:val="nil"/>
              <w:bottom w:val="single" w:sz="4" w:space="0" w:color="auto"/>
              <w:right w:val="single" w:sz="4" w:space="0" w:color="auto"/>
            </w:tcBorders>
            <w:shd w:val="clear" w:color="auto" w:fill="auto"/>
            <w:noWrap/>
            <w:vAlign w:val="bottom"/>
            <w:hideMark/>
          </w:tcPr>
          <w:p w14:paraId="742E81FA"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-6.374 </w:t>
            </w:r>
          </w:p>
        </w:tc>
        <w:tc>
          <w:tcPr>
            <w:tcW w:w="909" w:type="dxa"/>
            <w:tcBorders>
              <w:top w:val="nil"/>
              <w:left w:val="nil"/>
              <w:bottom w:val="single" w:sz="4" w:space="0" w:color="auto"/>
              <w:right w:val="single" w:sz="4" w:space="0" w:color="auto"/>
            </w:tcBorders>
            <w:shd w:val="clear" w:color="auto" w:fill="auto"/>
            <w:noWrap/>
            <w:vAlign w:val="bottom"/>
            <w:hideMark/>
          </w:tcPr>
          <w:p w14:paraId="373D578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-10,2%</w:t>
            </w:r>
          </w:p>
        </w:tc>
      </w:tr>
      <w:tr w:rsidR="00394C7E" w:rsidRPr="006148E8" w14:paraId="0FC6AB4A" w14:textId="77777777" w:rsidTr="001763DB">
        <w:trPr>
          <w:trHeight w:val="163"/>
        </w:trPr>
        <w:tc>
          <w:tcPr>
            <w:tcW w:w="5744" w:type="dxa"/>
            <w:tcBorders>
              <w:top w:val="nil"/>
              <w:left w:val="single" w:sz="4" w:space="0" w:color="auto"/>
              <w:bottom w:val="single" w:sz="4" w:space="0" w:color="auto"/>
              <w:right w:val="single" w:sz="4" w:space="0" w:color="auto"/>
            </w:tcBorders>
            <w:shd w:val="clear" w:color="auto" w:fill="auto"/>
            <w:vAlign w:val="bottom"/>
            <w:hideMark/>
          </w:tcPr>
          <w:p w14:paraId="096B6473"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Saloni di barbiere e parrucchiere</w:t>
            </w:r>
          </w:p>
        </w:tc>
        <w:tc>
          <w:tcPr>
            <w:tcW w:w="1022" w:type="dxa"/>
            <w:tcBorders>
              <w:top w:val="nil"/>
              <w:left w:val="nil"/>
              <w:bottom w:val="single" w:sz="4" w:space="0" w:color="auto"/>
              <w:right w:val="single" w:sz="4" w:space="0" w:color="auto"/>
            </w:tcBorders>
            <w:shd w:val="clear" w:color="auto" w:fill="auto"/>
            <w:noWrap/>
            <w:vAlign w:val="bottom"/>
            <w:hideMark/>
          </w:tcPr>
          <w:p w14:paraId="77F9493F"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-1.999 </w:t>
            </w:r>
          </w:p>
        </w:tc>
        <w:tc>
          <w:tcPr>
            <w:tcW w:w="941" w:type="dxa"/>
            <w:tcBorders>
              <w:top w:val="nil"/>
              <w:left w:val="nil"/>
              <w:bottom w:val="single" w:sz="4" w:space="0" w:color="auto"/>
              <w:right w:val="single" w:sz="4" w:space="0" w:color="auto"/>
            </w:tcBorders>
            <w:shd w:val="clear" w:color="auto" w:fill="auto"/>
            <w:noWrap/>
            <w:vAlign w:val="bottom"/>
            <w:hideMark/>
          </w:tcPr>
          <w:p w14:paraId="317BDBF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-5,0%</w:t>
            </w:r>
          </w:p>
        </w:tc>
        <w:tc>
          <w:tcPr>
            <w:tcW w:w="989" w:type="dxa"/>
            <w:tcBorders>
              <w:top w:val="nil"/>
              <w:left w:val="nil"/>
              <w:bottom w:val="single" w:sz="4" w:space="0" w:color="auto"/>
              <w:right w:val="single" w:sz="4" w:space="0" w:color="auto"/>
            </w:tcBorders>
            <w:shd w:val="clear" w:color="auto" w:fill="auto"/>
            <w:noWrap/>
            <w:vAlign w:val="bottom"/>
            <w:hideMark/>
          </w:tcPr>
          <w:p w14:paraId="77B16F2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-1.639 </w:t>
            </w:r>
          </w:p>
        </w:tc>
        <w:tc>
          <w:tcPr>
            <w:tcW w:w="909" w:type="dxa"/>
            <w:tcBorders>
              <w:top w:val="nil"/>
              <w:left w:val="nil"/>
              <w:bottom w:val="single" w:sz="4" w:space="0" w:color="auto"/>
              <w:right w:val="single" w:sz="4" w:space="0" w:color="auto"/>
            </w:tcBorders>
            <w:shd w:val="clear" w:color="auto" w:fill="auto"/>
            <w:noWrap/>
            <w:vAlign w:val="bottom"/>
            <w:hideMark/>
          </w:tcPr>
          <w:p w14:paraId="6D026417"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-4,1%</w:t>
            </w:r>
          </w:p>
        </w:tc>
      </w:tr>
      <w:tr w:rsidR="00394C7E" w:rsidRPr="006148E8" w14:paraId="1AC0A6E6" w14:textId="77777777" w:rsidTr="001763DB">
        <w:trPr>
          <w:trHeight w:val="163"/>
        </w:trPr>
        <w:tc>
          <w:tcPr>
            <w:tcW w:w="5744" w:type="dxa"/>
            <w:tcBorders>
              <w:top w:val="nil"/>
              <w:left w:val="single" w:sz="4" w:space="0" w:color="auto"/>
              <w:bottom w:val="single" w:sz="4" w:space="0" w:color="auto"/>
              <w:right w:val="single" w:sz="4" w:space="0" w:color="auto"/>
            </w:tcBorders>
            <w:shd w:val="clear" w:color="auto" w:fill="auto"/>
            <w:noWrap/>
            <w:vAlign w:val="bottom"/>
            <w:hideMark/>
          </w:tcPr>
          <w:p w14:paraId="53A5DCC5" w14:textId="77777777" w:rsidR="0086262D" w:rsidRPr="006148E8" w:rsidRDefault="0086262D" w:rsidP="006148E8">
            <w:pPr>
              <w:jc w:val="both"/>
              <w:rPr>
                <w:rFonts w:eastAsia="Times New Roman" w:cstheme="majorHAnsi"/>
                <w:b/>
                <w:bCs/>
                <w:color w:val="000000" w:themeColor="text1"/>
                <w:lang w:eastAsia="it-IT"/>
              </w:rPr>
            </w:pPr>
            <w:r w:rsidRPr="006148E8">
              <w:rPr>
                <w:rFonts w:eastAsia="Times New Roman" w:cstheme="majorHAnsi"/>
                <w:b/>
                <w:bCs/>
                <w:color w:val="000000" w:themeColor="text1"/>
                <w:lang w:eastAsia="it-IT"/>
              </w:rPr>
              <w:t>Totale</w:t>
            </w:r>
          </w:p>
        </w:tc>
        <w:tc>
          <w:tcPr>
            <w:tcW w:w="1022" w:type="dxa"/>
            <w:tcBorders>
              <w:top w:val="nil"/>
              <w:left w:val="nil"/>
              <w:bottom w:val="single" w:sz="4" w:space="0" w:color="auto"/>
              <w:right w:val="single" w:sz="4" w:space="0" w:color="auto"/>
            </w:tcBorders>
            <w:shd w:val="clear" w:color="auto" w:fill="auto"/>
            <w:noWrap/>
            <w:vAlign w:val="bottom"/>
            <w:hideMark/>
          </w:tcPr>
          <w:p w14:paraId="1D1355D3" w14:textId="77777777" w:rsidR="0086262D" w:rsidRPr="006148E8" w:rsidRDefault="0086262D" w:rsidP="006148E8">
            <w:pPr>
              <w:jc w:val="both"/>
              <w:rPr>
                <w:rFonts w:eastAsia="Times New Roman" w:cstheme="majorHAnsi"/>
                <w:b/>
                <w:bCs/>
                <w:color w:val="000000" w:themeColor="text1"/>
                <w:lang w:eastAsia="it-IT"/>
              </w:rPr>
            </w:pPr>
            <w:r w:rsidRPr="006148E8">
              <w:rPr>
                <w:rFonts w:eastAsia="Times New Roman" w:cstheme="majorHAnsi"/>
                <w:b/>
                <w:bCs/>
                <w:color w:val="000000" w:themeColor="text1"/>
                <w:lang w:eastAsia="it-IT"/>
              </w:rPr>
              <w:t xml:space="preserve">-23.576 </w:t>
            </w:r>
          </w:p>
        </w:tc>
        <w:tc>
          <w:tcPr>
            <w:tcW w:w="941" w:type="dxa"/>
            <w:tcBorders>
              <w:top w:val="nil"/>
              <w:left w:val="nil"/>
              <w:bottom w:val="single" w:sz="4" w:space="0" w:color="auto"/>
              <w:right w:val="single" w:sz="4" w:space="0" w:color="auto"/>
            </w:tcBorders>
            <w:shd w:val="clear" w:color="auto" w:fill="auto"/>
            <w:noWrap/>
            <w:vAlign w:val="bottom"/>
            <w:hideMark/>
          </w:tcPr>
          <w:p w14:paraId="09D0347B" w14:textId="77777777" w:rsidR="0086262D" w:rsidRPr="006148E8" w:rsidRDefault="0086262D" w:rsidP="006148E8">
            <w:pPr>
              <w:jc w:val="both"/>
              <w:rPr>
                <w:rFonts w:eastAsia="Times New Roman" w:cstheme="majorHAnsi"/>
                <w:b/>
                <w:bCs/>
                <w:color w:val="000000" w:themeColor="text1"/>
                <w:lang w:eastAsia="it-IT"/>
              </w:rPr>
            </w:pPr>
            <w:r w:rsidRPr="006148E8">
              <w:rPr>
                <w:rFonts w:eastAsia="Times New Roman" w:cstheme="majorHAnsi"/>
                <w:b/>
                <w:bCs/>
                <w:color w:val="000000" w:themeColor="text1"/>
                <w:lang w:eastAsia="it-IT"/>
              </w:rPr>
              <w:t>-10,6%</w:t>
            </w:r>
          </w:p>
        </w:tc>
        <w:tc>
          <w:tcPr>
            <w:tcW w:w="989" w:type="dxa"/>
            <w:tcBorders>
              <w:top w:val="nil"/>
              <w:left w:val="nil"/>
              <w:bottom w:val="single" w:sz="4" w:space="0" w:color="auto"/>
              <w:right w:val="single" w:sz="4" w:space="0" w:color="auto"/>
            </w:tcBorders>
            <w:shd w:val="clear" w:color="auto" w:fill="auto"/>
            <w:noWrap/>
            <w:vAlign w:val="bottom"/>
            <w:hideMark/>
          </w:tcPr>
          <w:p w14:paraId="137A0856" w14:textId="77777777" w:rsidR="0086262D" w:rsidRPr="006148E8" w:rsidRDefault="0086262D" w:rsidP="006148E8">
            <w:pPr>
              <w:jc w:val="both"/>
              <w:rPr>
                <w:rFonts w:eastAsia="Times New Roman" w:cstheme="majorHAnsi"/>
                <w:b/>
                <w:bCs/>
                <w:color w:val="000000" w:themeColor="text1"/>
                <w:lang w:eastAsia="it-IT"/>
              </w:rPr>
            </w:pPr>
            <w:r w:rsidRPr="006148E8">
              <w:rPr>
                <w:rFonts w:eastAsia="Times New Roman" w:cstheme="majorHAnsi"/>
                <w:b/>
                <w:bCs/>
                <w:color w:val="000000" w:themeColor="text1"/>
                <w:lang w:eastAsia="it-IT"/>
              </w:rPr>
              <w:t xml:space="preserve">-16.512 </w:t>
            </w:r>
          </w:p>
        </w:tc>
        <w:tc>
          <w:tcPr>
            <w:tcW w:w="909" w:type="dxa"/>
            <w:tcBorders>
              <w:top w:val="nil"/>
              <w:left w:val="nil"/>
              <w:bottom w:val="single" w:sz="4" w:space="0" w:color="auto"/>
              <w:right w:val="single" w:sz="4" w:space="0" w:color="auto"/>
            </w:tcBorders>
            <w:shd w:val="clear" w:color="auto" w:fill="auto"/>
            <w:noWrap/>
            <w:vAlign w:val="bottom"/>
            <w:hideMark/>
          </w:tcPr>
          <w:p w14:paraId="4B9E80D1" w14:textId="77777777" w:rsidR="0086262D" w:rsidRPr="006148E8" w:rsidRDefault="0086262D" w:rsidP="006148E8">
            <w:pPr>
              <w:jc w:val="both"/>
              <w:rPr>
                <w:rFonts w:eastAsia="Times New Roman" w:cstheme="majorHAnsi"/>
                <w:b/>
                <w:bCs/>
                <w:color w:val="000000" w:themeColor="text1"/>
                <w:lang w:eastAsia="it-IT"/>
              </w:rPr>
            </w:pPr>
            <w:r w:rsidRPr="006148E8">
              <w:rPr>
                <w:rFonts w:eastAsia="Times New Roman" w:cstheme="majorHAnsi"/>
                <w:b/>
                <w:bCs/>
                <w:color w:val="000000" w:themeColor="text1"/>
                <w:lang w:eastAsia="it-IT"/>
              </w:rPr>
              <w:t>-7,7%</w:t>
            </w:r>
          </w:p>
        </w:tc>
      </w:tr>
    </w:tbl>
    <w:p w14:paraId="2C20E1CB" w14:textId="77777777" w:rsidR="0086262D" w:rsidRPr="006148E8" w:rsidRDefault="0086262D" w:rsidP="006148E8">
      <w:pPr>
        <w:spacing w:after="120" w:line="276" w:lineRule="auto"/>
        <w:jc w:val="both"/>
        <w:rPr>
          <w:rFonts w:cstheme="majorHAnsi"/>
          <w:b/>
          <w:bCs/>
          <w:color w:val="000000" w:themeColor="text1"/>
        </w:rPr>
      </w:pPr>
    </w:p>
    <w:p w14:paraId="5DB4717E" w14:textId="7F2EF506" w:rsidR="0086262D" w:rsidRPr="006148E8" w:rsidRDefault="0086262D" w:rsidP="006148E8">
      <w:pPr>
        <w:spacing w:after="120" w:line="276" w:lineRule="auto"/>
        <w:jc w:val="both"/>
        <w:rPr>
          <w:rFonts w:cstheme="majorHAnsi"/>
          <w:color w:val="000000" w:themeColor="text1"/>
        </w:rPr>
      </w:pPr>
      <w:r w:rsidRPr="006148E8">
        <w:rPr>
          <w:rFonts w:cstheme="majorHAnsi"/>
          <w:b/>
          <w:bCs/>
          <w:color w:val="000000" w:themeColor="text1"/>
        </w:rPr>
        <w:t>I comuni medio-piccoli.</w:t>
      </w:r>
      <w:r w:rsidRPr="006148E8">
        <w:rPr>
          <w:rFonts w:cstheme="majorHAnsi"/>
          <w:color w:val="000000" w:themeColor="text1"/>
        </w:rPr>
        <w:t xml:space="preserve"> Anche nei comuni di medio-piccole dimensioni - tra 15.001 e i 50.000 abitanti - la maggior parte dei comparti presi in esame ha registrato una riduzione del numero di attività nel periodo considerato, sia rispetto al 2014 che al 2019. Si tratta di un calo meno pronunciato rispetto a quello dei piccoli comuni, ma che comunque conferma una tendenza generale alla contrazione del tessuto commerciale anche in queste realtà. Complessivamente, nel 2024 l’insieme delle imprese da noi considerato conta in questi comuni 139.893 attività registrate. Sono circa 9mila in meno rispetto al 2014, con un crollo del -6,1% inferiore a quello registrato dai comuni sotto i 15mila abitanti (-10,6%).</w:t>
      </w:r>
    </w:p>
    <w:p w14:paraId="3948CE51" w14:textId="00327E1C" w:rsidR="0086262D" w:rsidRPr="006148E8" w:rsidRDefault="00DE7EA3" w:rsidP="006148E8">
      <w:pPr>
        <w:spacing w:after="120" w:line="276" w:lineRule="auto"/>
        <w:jc w:val="both"/>
        <w:rPr>
          <w:rFonts w:cstheme="majorHAnsi"/>
          <w:color w:val="000000" w:themeColor="text1"/>
        </w:rPr>
      </w:pPr>
      <w:r w:rsidRPr="006148E8">
        <w:rPr>
          <w:rFonts w:cstheme="majorHAnsi"/>
          <w:b/>
          <w:bCs/>
          <w:color w:val="000000" w:themeColor="text1"/>
        </w:rPr>
        <w:t>I comuni medio</w:t>
      </w:r>
      <w:r w:rsidR="00E171AA" w:rsidRPr="006148E8">
        <w:rPr>
          <w:rFonts w:cstheme="majorHAnsi"/>
          <w:b/>
          <w:bCs/>
          <w:color w:val="000000" w:themeColor="text1"/>
        </w:rPr>
        <w:t>-</w:t>
      </w:r>
      <w:r w:rsidRPr="006148E8">
        <w:rPr>
          <w:rFonts w:cstheme="majorHAnsi"/>
          <w:b/>
          <w:bCs/>
          <w:color w:val="000000" w:themeColor="text1"/>
        </w:rPr>
        <w:t xml:space="preserve">piccoli: il calo per tipologia di impresa. </w:t>
      </w:r>
      <w:r w:rsidR="0086262D" w:rsidRPr="006148E8">
        <w:rPr>
          <w:rFonts w:cstheme="majorHAnsi"/>
          <w:color w:val="000000" w:themeColor="text1"/>
        </w:rPr>
        <w:t>In termini numerici, il calo colpisce soprattutto le attività di bar e simili, che registrano una diminuzione di -3.349 imprese attive in dieci anni (-8,3%). Significativo anche il calo di minimercati (-1.682 imprese rispetto al 2014), edicole (-1.582), macellerie (-1.276) e distributori carburante (-1.051). Giù pure i ferramenta (-893), i negozi di elettrodomestici (-769), le pescherie (-111) e i negozi di vendita di pane (-188).</w:t>
      </w:r>
      <w:r w:rsidRPr="006148E8">
        <w:rPr>
          <w:rFonts w:cstheme="majorHAnsi"/>
          <w:color w:val="000000" w:themeColor="text1"/>
        </w:rPr>
        <w:t xml:space="preserve"> </w:t>
      </w:r>
      <w:r w:rsidR="0086262D" w:rsidRPr="006148E8">
        <w:rPr>
          <w:rFonts w:cstheme="majorHAnsi"/>
          <w:color w:val="000000" w:themeColor="text1"/>
        </w:rPr>
        <w:t>Lieve aumento, invece, per</w:t>
      </w:r>
      <w:r w:rsidR="0086262D" w:rsidRPr="006148E8">
        <w:rPr>
          <w:rFonts w:cstheme="majorHAnsi"/>
          <w:strike/>
          <w:color w:val="000000" w:themeColor="text1"/>
        </w:rPr>
        <w:t xml:space="preserve"> </w:t>
      </w:r>
      <w:r w:rsidR="0086262D" w:rsidRPr="006148E8">
        <w:rPr>
          <w:rFonts w:cstheme="majorHAnsi"/>
          <w:color w:val="000000" w:themeColor="text1"/>
        </w:rPr>
        <w:t>il comparto del commercio al dettaglio moda (+170 imprese dal 2014), che però anche in questi comuni vede una ridistribuzione delle specializzazioni: crescono i negozi di abbigliamento per adulti (+2.465 in dieci anni), ma calano quelli di confezioni per bambini (-316 attività), di biancheria e maglieria personale (-868) e soprattutto di calzature e accessori (-</w:t>
      </w:r>
      <w:r w:rsidR="001B59A1" w:rsidRPr="006148E8">
        <w:rPr>
          <w:rFonts w:cstheme="majorHAnsi"/>
          <w:color w:val="000000" w:themeColor="text1"/>
        </w:rPr>
        <w:t>1.111</w:t>
      </w:r>
      <w:r w:rsidR="0086262D" w:rsidRPr="006148E8">
        <w:rPr>
          <w:rFonts w:cstheme="majorHAnsi"/>
          <w:color w:val="000000" w:themeColor="text1"/>
        </w:rPr>
        <w:t xml:space="preserve"> imprese).</w:t>
      </w:r>
    </w:p>
    <w:p w14:paraId="164BDA1E" w14:textId="45656AF8" w:rsidR="0086262D" w:rsidRPr="006148E8" w:rsidRDefault="0086262D" w:rsidP="006148E8">
      <w:pPr>
        <w:spacing w:after="120" w:line="276" w:lineRule="auto"/>
        <w:jc w:val="both"/>
        <w:rPr>
          <w:rFonts w:cstheme="majorHAnsi"/>
          <w:color w:val="000000" w:themeColor="text1"/>
        </w:rPr>
      </w:pPr>
      <w:r w:rsidRPr="006148E8">
        <w:rPr>
          <w:rFonts w:cstheme="majorHAnsi"/>
          <w:color w:val="000000" w:themeColor="text1"/>
        </w:rPr>
        <w:t>Sostanzialmente stabili, invece, le imprese del commercio al dettaglio di bevande (che perdono solo 4 unità in dieci anni), le librerie (che invece aumentano di 15 unità) e i forni (+11), mentre mettono a segno una piccola crescita i negozi di ortofrutta (+84 imprese) e gli empori (+172). Aumentano decisamente, invece, le rivendite di generi di monopolio (+524) e soprattutto i servizi di salone di barbiere e parrucchiere (+861 imprese dal 2014).</w:t>
      </w:r>
    </w:p>
    <w:tbl>
      <w:tblPr>
        <w:tblW w:w="9597" w:type="dxa"/>
        <w:tblCellMar>
          <w:left w:w="70" w:type="dxa"/>
          <w:right w:w="70" w:type="dxa"/>
        </w:tblCellMar>
        <w:tblLook w:val="04A0" w:firstRow="1" w:lastRow="0" w:firstColumn="1" w:lastColumn="0" w:noHBand="0" w:noVBand="1"/>
      </w:tblPr>
      <w:tblGrid>
        <w:gridCol w:w="5737"/>
        <w:gridCol w:w="938"/>
        <w:gridCol w:w="1024"/>
        <w:gridCol w:w="907"/>
        <w:gridCol w:w="991"/>
      </w:tblGrid>
      <w:tr w:rsidR="00394C7E" w:rsidRPr="006148E8" w14:paraId="5A5351EB" w14:textId="77777777" w:rsidTr="00394C7E">
        <w:trPr>
          <w:trHeight w:val="236"/>
        </w:trPr>
        <w:tc>
          <w:tcPr>
            <w:tcW w:w="5737" w:type="dxa"/>
            <w:tcBorders>
              <w:top w:val="single" w:sz="4" w:space="0" w:color="auto"/>
              <w:left w:val="single" w:sz="4" w:space="0" w:color="auto"/>
              <w:bottom w:val="single" w:sz="4" w:space="0" w:color="auto"/>
              <w:right w:val="single" w:sz="4" w:space="0" w:color="auto"/>
            </w:tcBorders>
            <w:shd w:val="clear" w:color="auto" w:fill="83E390"/>
            <w:noWrap/>
            <w:vAlign w:val="bottom"/>
            <w:hideMark/>
          </w:tcPr>
          <w:p w14:paraId="76FB705C" w14:textId="77777777" w:rsidR="0086262D" w:rsidRPr="006148E8" w:rsidRDefault="0086262D" w:rsidP="006148E8">
            <w:pPr>
              <w:jc w:val="both"/>
              <w:rPr>
                <w:rFonts w:eastAsia="Times New Roman" w:cstheme="majorHAnsi"/>
                <w:b/>
                <w:bCs/>
                <w:color w:val="000000" w:themeColor="text1"/>
                <w:lang w:eastAsia="it-IT"/>
              </w:rPr>
            </w:pPr>
            <w:r w:rsidRPr="006148E8">
              <w:rPr>
                <w:rFonts w:eastAsia="Times New Roman" w:cstheme="majorHAnsi"/>
                <w:b/>
                <w:bCs/>
                <w:color w:val="000000" w:themeColor="text1"/>
                <w:lang w:eastAsia="it-IT"/>
              </w:rPr>
              <w:t> Comuni da 15 mila a 50 mila abitanti</w:t>
            </w:r>
          </w:p>
        </w:tc>
        <w:tc>
          <w:tcPr>
            <w:tcW w:w="1962" w:type="dxa"/>
            <w:gridSpan w:val="2"/>
            <w:tcBorders>
              <w:top w:val="single" w:sz="4" w:space="0" w:color="auto"/>
              <w:left w:val="nil"/>
              <w:bottom w:val="single" w:sz="4" w:space="0" w:color="auto"/>
              <w:right w:val="single" w:sz="4" w:space="0" w:color="auto"/>
            </w:tcBorders>
            <w:shd w:val="clear" w:color="auto" w:fill="84E290" w:themeFill="accent3" w:themeFillTint="66"/>
            <w:noWrap/>
            <w:vAlign w:val="bottom"/>
            <w:hideMark/>
          </w:tcPr>
          <w:p w14:paraId="271273DB"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2024/2014</w:t>
            </w:r>
          </w:p>
        </w:tc>
        <w:tc>
          <w:tcPr>
            <w:tcW w:w="1898" w:type="dxa"/>
            <w:gridSpan w:val="2"/>
            <w:tcBorders>
              <w:top w:val="single" w:sz="4" w:space="0" w:color="auto"/>
              <w:left w:val="nil"/>
              <w:bottom w:val="single" w:sz="4" w:space="0" w:color="auto"/>
              <w:right w:val="single" w:sz="4" w:space="0" w:color="auto"/>
            </w:tcBorders>
            <w:shd w:val="clear" w:color="auto" w:fill="84E290" w:themeFill="accent3" w:themeFillTint="66"/>
            <w:noWrap/>
            <w:vAlign w:val="bottom"/>
            <w:hideMark/>
          </w:tcPr>
          <w:p w14:paraId="09F36AC2"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2024/2019</w:t>
            </w:r>
          </w:p>
        </w:tc>
      </w:tr>
      <w:tr w:rsidR="00394C7E" w:rsidRPr="006148E8" w14:paraId="5A3D8D82" w14:textId="77777777" w:rsidTr="001763DB">
        <w:trPr>
          <w:trHeight w:val="236"/>
        </w:trPr>
        <w:tc>
          <w:tcPr>
            <w:tcW w:w="5737" w:type="dxa"/>
            <w:tcBorders>
              <w:top w:val="nil"/>
              <w:left w:val="single" w:sz="4" w:space="0" w:color="auto"/>
              <w:bottom w:val="single" w:sz="4" w:space="0" w:color="auto"/>
              <w:right w:val="single" w:sz="4" w:space="0" w:color="auto"/>
            </w:tcBorders>
            <w:shd w:val="clear" w:color="auto" w:fill="auto"/>
            <w:vAlign w:val="bottom"/>
            <w:hideMark/>
          </w:tcPr>
          <w:p w14:paraId="497A7C1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Forni</w:t>
            </w:r>
          </w:p>
        </w:tc>
        <w:tc>
          <w:tcPr>
            <w:tcW w:w="938" w:type="dxa"/>
            <w:tcBorders>
              <w:top w:val="nil"/>
              <w:left w:val="nil"/>
              <w:bottom w:val="single" w:sz="4" w:space="0" w:color="auto"/>
              <w:right w:val="single" w:sz="4" w:space="0" w:color="auto"/>
            </w:tcBorders>
            <w:shd w:val="clear" w:color="auto" w:fill="auto"/>
            <w:noWrap/>
            <w:vAlign w:val="bottom"/>
            <w:hideMark/>
          </w:tcPr>
          <w:p w14:paraId="7AF832E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11 </w:t>
            </w:r>
          </w:p>
        </w:tc>
        <w:tc>
          <w:tcPr>
            <w:tcW w:w="1023" w:type="dxa"/>
            <w:tcBorders>
              <w:top w:val="nil"/>
              <w:left w:val="nil"/>
              <w:bottom w:val="single" w:sz="4" w:space="0" w:color="auto"/>
              <w:right w:val="single" w:sz="4" w:space="0" w:color="auto"/>
            </w:tcBorders>
            <w:shd w:val="clear" w:color="auto" w:fill="auto"/>
            <w:noWrap/>
            <w:vAlign w:val="bottom"/>
            <w:hideMark/>
          </w:tcPr>
          <w:p w14:paraId="1EC5EE56"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0,2%</w:t>
            </w:r>
          </w:p>
        </w:tc>
        <w:tc>
          <w:tcPr>
            <w:tcW w:w="907" w:type="dxa"/>
            <w:tcBorders>
              <w:top w:val="nil"/>
              <w:left w:val="nil"/>
              <w:bottom w:val="single" w:sz="4" w:space="0" w:color="auto"/>
              <w:right w:val="single" w:sz="4" w:space="0" w:color="auto"/>
            </w:tcBorders>
            <w:shd w:val="clear" w:color="auto" w:fill="auto"/>
            <w:noWrap/>
            <w:vAlign w:val="bottom"/>
            <w:hideMark/>
          </w:tcPr>
          <w:p w14:paraId="2A551D0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-192 </w:t>
            </w:r>
          </w:p>
        </w:tc>
        <w:tc>
          <w:tcPr>
            <w:tcW w:w="990" w:type="dxa"/>
            <w:tcBorders>
              <w:top w:val="nil"/>
              <w:left w:val="nil"/>
              <w:bottom w:val="single" w:sz="4" w:space="0" w:color="auto"/>
              <w:right w:val="single" w:sz="4" w:space="0" w:color="auto"/>
            </w:tcBorders>
            <w:shd w:val="clear" w:color="auto" w:fill="auto"/>
            <w:noWrap/>
            <w:vAlign w:val="bottom"/>
            <w:hideMark/>
          </w:tcPr>
          <w:p w14:paraId="1E486453"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-2,9%</w:t>
            </w:r>
          </w:p>
        </w:tc>
      </w:tr>
      <w:tr w:rsidR="00394C7E" w:rsidRPr="006148E8" w14:paraId="4356B412" w14:textId="77777777" w:rsidTr="001763DB">
        <w:trPr>
          <w:trHeight w:val="257"/>
        </w:trPr>
        <w:tc>
          <w:tcPr>
            <w:tcW w:w="5737" w:type="dxa"/>
            <w:tcBorders>
              <w:top w:val="nil"/>
              <w:left w:val="single" w:sz="4" w:space="0" w:color="auto"/>
              <w:bottom w:val="single" w:sz="4" w:space="0" w:color="auto"/>
              <w:right w:val="single" w:sz="4" w:space="0" w:color="auto"/>
            </w:tcBorders>
            <w:shd w:val="clear" w:color="auto" w:fill="auto"/>
            <w:vAlign w:val="bottom"/>
            <w:hideMark/>
          </w:tcPr>
          <w:p w14:paraId="066A8767" w14:textId="77777777" w:rsidR="0086262D" w:rsidRPr="006148E8" w:rsidRDefault="0086262D" w:rsidP="006148E8">
            <w:pPr>
              <w:jc w:val="both"/>
              <w:rPr>
                <w:rFonts w:eastAsia="Times New Roman" w:cstheme="majorHAnsi"/>
                <w:color w:val="000000" w:themeColor="text1"/>
                <w:lang w:eastAsia="it-IT"/>
              </w:rPr>
            </w:pPr>
            <w:r w:rsidRPr="006148E8">
              <w:rPr>
                <w:rFonts w:cstheme="majorHAnsi"/>
                <w:color w:val="000000" w:themeColor="text1"/>
              </w:rPr>
              <w:t>Minimercati</w:t>
            </w:r>
          </w:p>
        </w:tc>
        <w:tc>
          <w:tcPr>
            <w:tcW w:w="938" w:type="dxa"/>
            <w:tcBorders>
              <w:top w:val="nil"/>
              <w:left w:val="nil"/>
              <w:bottom w:val="single" w:sz="4" w:space="0" w:color="auto"/>
              <w:right w:val="single" w:sz="4" w:space="0" w:color="auto"/>
            </w:tcBorders>
            <w:shd w:val="clear" w:color="auto" w:fill="auto"/>
            <w:noWrap/>
            <w:vAlign w:val="bottom"/>
            <w:hideMark/>
          </w:tcPr>
          <w:p w14:paraId="3FD91F5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-1.682 </w:t>
            </w:r>
          </w:p>
        </w:tc>
        <w:tc>
          <w:tcPr>
            <w:tcW w:w="1023" w:type="dxa"/>
            <w:tcBorders>
              <w:top w:val="nil"/>
              <w:left w:val="nil"/>
              <w:bottom w:val="single" w:sz="4" w:space="0" w:color="auto"/>
              <w:right w:val="single" w:sz="4" w:space="0" w:color="auto"/>
            </w:tcBorders>
            <w:shd w:val="clear" w:color="auto" w:fill="auto"/>
            <w:noWrap/>
            <w:vAlign w:val="bottom"/>
            <w:hideMark/>
          </w:tcPr>
          <w:p w14:paraId="0794D4F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-13,9%</w:t>
            </w:r>
          </w:p>
        </w:tc>
        <w:tc>
          <w:tcPr>
            <w:tcW w:w="907" w:type="dxa"/>
            <w:tcBorders>
              <w:top w:val="nil"/>
              <w:left w:val="nil"/>
              <w:bottom w:val="single" w:sz="4" w:space="0" w:color="auto"/>
              <w:right w:val="single" w:sz="4" w:space="0" w:color="auto"/>
            </w:tcBorders>
            <w:shd w:val="clear" w:color="auto" w:fill="auto"/>
            <w:noWrap/>
            <w:vAlign w:val="bottom"/>
            <w:hideMark/>
          </w:tcPr>
          <w:p w14:paraId="73BA67E2"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-765 </w:t>
            </w:r>
          </w:p>
        </w:tc>
        <w:tc>
          <w:tcPr>
            <w:tcW w:w="990" w:type="dxa"/>
            <w:tcBorders>
              <w:top w:val="nil"/>
              <w:left w:val="nil"/>
              <w:bottom w:val="single" w:sz="4" w:space="0" w:color="auto"/>
              <w:right w:val="single" w:sz="4" w:space="0" w:color="auto"/>
            </w:tcBorders>
            <w:shd w:val="clear" w:color="auto" w:fill="auto"/>
            <w:noWrap/>
            <w:vAlign w:val="bottom"/>
            <w:hideMark/>
          </w:tcPr>
          <w:p w14:paraId="513041B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-6,8%</w:t>
            </w:r>
          </w:p>
        </w:tc>
      </w:tr>
      <w:tr w:rsidR="00394C7E" w:rsidRPr="006148E8" w14:paraId="62E8C3AA" w14:textId="77777777" w:rsidTr="001763DB">
        <w:trPr>
          <w:trHeight w:val="206"/>
        </w:trPr>
        <w:tc>
          <w:tcPr>
            <w:tcW w:w="5737" w:type="dxa"/>
            <w:tcBorders>
              <w:top w:val="nil"/>
              <w:left w:val="single" w:sz="4" w:space="0" w:color="auto"/>
              <w:bottom w:val="single" w:sz="4" w:space="0" w:color="auto"/>
              <w:right w:val="single" w:sz="4" w:space="0" w:color="auto"/>
            </w:tcBorders>
            <w:shd w:val="clear" w:color="auto" w:fill="auto"/>
            <w:hideMark/>
          </w:tcPr>
          <w:p w14:paraId="7046EA2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Elettrodomestici</w:t>
            </w:r>
          </w:p>
        </w:tc>
        <w:tc>
          <w:tcPr>
            <w:tcW w:w="938" w:type="dxa"/>
            <w:tcBorders>
              <w:top w:val="nil"/>
              <w:left w:val="nil"/>
              <w:bottom w:val="single" w:sz="4" w:space="0" w:color="auto"/>
              <w:right w:val="single" w:sz="4" w:space="0" w:color="auto"/>
            </w:tcBorders>
            <w:shd w:val="clear" w:color="auto" w:fill="auto"/>
            <w:noWrap/>
            <w:vAlign w:val="bottom"/>
            <w:hideMark/>
          </w:tcPr>
          <w:p w14:paraId="6B91F5A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-769 </w:t>
            </w:r>
          </w:p>
        </w:tc>
        <w:tc>
          <w:tcPr>
            <w:tcW w:w="1023" w:type="dxa"/>
            <w:tcBorders>
              <w:top w:val="nil"/>
              <w:left w:val="nil"/>
              <w:bottom w:val="single" w:sz="4" w:space="0" w:color="auto"/>
              <w:right w:val="single" w:sz="4" w:space="0" w:color="auto"/>
            </w:tcBorders>
            <w:shd w:val="clear" w:color="auto" w:fill="auto"/>
            <w:noWrap/>
            <w:vAlign w:val="bottom"/>
            <w:hideMark/>
          </w:tcPr>
          <w:p w14:paraId="5989912F"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-30,8%</w:t>
            </w:r>
          </w:p>
        </w:tc>
        <w:tc>
          <w:tcPr>
            <w:tcW w:w="907" w:type="dxa"/>
            <w:tcBorders>
              <w:top w:val="nil"/>
              <w:left w:val="nil"/>
              <w:bottom w:val="single" w:sz="4" w:space="0" w:color="auto"/>
              <w:right w:val="single" w:sz="4" w:space="0" w:color="auto"/>
            </w:tcBorders>
            <w:shd w:val="clear" w:color="auto" w:fill="auto"/>
            <w:noWrap/>
            <w:vAlign w:val="bottom"/>
            <w:hideMark/>
          </w:tcPr>
          <w:p w14:paraId="0D93949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-377 </w:t>
            </w:r>
          </w:p>
        </w:tc>
        <w:tc>
          <w:tcPr>
            <w:tcW w:w="990" w:type="dxa"/>
            <w:tcBorders>
              <w:top w:val="nil"/>
              <w:left w:val="nil"/>
              <w:bottom w:val="single" w:sz="4" w:space="0" w:color="auto"/>
              <w:right w:val="single" w:sz="4" w:space="0" w:color="auto"/>
            </w:tcBorders>
            <w:shd w:val="clear" w:color="auto" w:fill="auto"/>
            <w:noWrap/>
            <w:vAlign w:val="bottom"/>
            <w:hideMark/>
          </w:tcPr>
          <w:p w14:paraId="71B90B0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-17,9%</w:t>
            </w:r>
          </w:p>
        </w:tc>
      </w:tr>
      <w:tr w:rsidR="00394C7E" w:rsidRPr="006148E8" w14:paraId="40C7A338" w14:textId="77777777" w:rsidTr="001763DB">
        <w:trPr>
          <w:trHeight w:val="251"/>
        </w:trPr>
        <w:tc>
          <w:tcPr>
            <w:tcW w:w="5737" w:type="dxa"/>
            <w:tcBorders>
              <w:top w:val="nil"/>
              <w:left w:val="single" w:sz="4" w:space="0" w:color="auto"/>
              <w:bottom w:val="single" w:sz="4" w:space="0" w:color="auto"/>
              <w:right w:val="single" w:sz="4" w:space="0" w:color="auto"/>
            </w:tcBorders>
            <w:shd w:val="clear" w:color="auto" w:fill="auto"/>
            <w:vAlign w:val="bottom"/>
            <w:hideMark/>
          </w:tcPr>
          <w:p w14:paraId="16A72C8C" w14:textId="77777777" w:rsidR="0086262D" w:rsidRPr="006148E8" w:rsidRDefault="0086262D" w:rsidP="006148E8">
            <w:pPr>
              <w:jc w:val="both"/>
              <w:rPr>
                <w:rFonts w:eastAsia="Times New Roman" w:cstheme="majorHAnsi"/>
                <w:color w:val="000000" w:themeColor="text1"/>
                <w:lang w:eastAsia="it-IT"/>
              </w:rPr>
            </w:pPr>
            <w:r w:rsidRPr="006148E8">
              <w:rPr>
                <w:rFonts w:cstheme="majorHAnsi"/>
                <w:color w:val="000000" w:themeColor="text1"/>
              </w:rPr>
              <w:t>Empori</w:t>
            </w:r>
          </w:p>
        </w:tc>
        <w:tc>
          <w:tcPr>
            <w:tcW w:w="938" w:type="dxa"/>
            <w:tcBorders>
              <w:top w:val="nil"/>
              <w:left w:val="nil"/>
              <w:bottom w:val="single" w:sz="4" w:space="0" w:color="auto"/>
              <w:right w:val="single" w:sz="4" w:space="0" w:color="auto"/>
            </w:tcBorders>
            <w:shd w:val="clear" w:color="auto" w:fill="auto"/>
            <w:noWrap/>
            <w:vAlign w:val="bottom"/>
            <w:hideMark/>
          </w:tcPr>
          <w:p w14:paraId="2664BDE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172 </w:t>
            </w:r>
          </w:p>
        </w:tc>
        <w:tc>
          <w:tcPr>
            <w:tcW w:w="1023" w:type="dxa"/>
            <w:tcBorders>
              <w:top w:val="nil"/>
              <w:left w:val="nil"/>
              <w:bottom w:val="single" w:sz="4" w:space="0" w:color="auto"/>
              <w:right w:val="single" w:sz="4" w:space="0" w:color="auto"/>
            </w:tcBorders>
            <w:shd w:val="clear" w:color="auto" w:fill="auto"/>
            <w:noWrap/>
            <w:vAlign w:val="bottom"/>
            <w:hideMark/>
          </w:tcPr>
          <w:p w14:paraId="01D5B52A"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7,3%</w:t>
            </w:r>
          </w:p>
        </w:tc>
        <w:tc>
          <w:tcPr>
            <w:tcW w:w="907" w:type="dxa"/>
            <w:tcBorders>
              <w:top w:val="nil"/>
              <w:left w:val="nil"/>
              <w:bottom w:val="single" w:sz="4" w:space="0" w:color="auto"/>
              <w:right w:val="single" w:sz="4" w:space="0" w:color="auto"/>
            </w:tcBorders>
            <w:shd w:val="clear" w:color="auto" w:fill="auto"/>
            <w:noWrap/>
            <w:vAlign w:val="bottom"/>
            <w:hideMark/>
          </w:tcPr>
          <w:p w14:paraId="7E93BDDB"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72 </w:t>
            </w:r>
          </w:p>
        </w:tc>
        <w:tc>
          <w:tcPr>
            <w:tcW w:w="990" w:type="dxa"/>
            <w:tcBorders>
              <w:top w:val="nil"/>
              <w:left w:val="nil"/>
              <w:bottom w:val="single" w:sz="4" w:space="0" w:color="auto"/>
              <w:right w:val="single" w:sz="4" w:space="0" w:color="auto"/>
            </w:tcBorders>
            <w:shd w:val="clear" w:color="auto" w:fill="auto"/>
            <w:noWrap/>
            <w:vAlign w:val="bottom"/>
            <w:hideMark/>
          </w:tcPr>
          <w:p w14:paraId="04E7843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2,9%</w:t>
            </w:r>
          </w:p>
        </w:tc>
      </w:tr>
      <w:tr w:rsidR="00394C7E" w:rsidRPr="006148E8" w14:paraId="57EBD813" w14:textId="77777777" w:rsidTr="001763DB">
        <w:trPr>
          <w:trHeight w:val="236"/>
        </w:trPr>
        <w:tc>
          <w:tcPr>
            <w:tcW w:w="5737" w:type="dxa"/>
            <w:tcBorders>
              <w:top w:val="nil"/>
              <w:left w:val="single" w:sz="4" w:space="0" w:color="auto"/>
              <w:bottom w:val="single" w:sz="4" w:space="0" w:color="auto"/>
              <w:right w:val="single" w:sz="4" w:space="0" w:color="auto"/>
            </w:tcBorders>
            <w:shd w:val="clear" w:color="auto" w:fill="auto"/>
            <w:vAlign w:val="bottom"/>
            <w:hideMark/>
          </w:tcPr>
          <w:p w14:paraId="45CD7D8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Ortofrutta</w:t>
            </w:r>
          </w:p>
        </w:tc>
        <w:tc>
          <w:tcPr>
            <w:tcW w:w="938" w:type="dxa"/>
            <w:tcBorders>
              <w:top w:val="nil"/>
              <w:left w:val="nil"/>
              <w:bottom w:val="single" w:sz="4" w:space="0" w:color="auto"/>
              <w:right w:val="single" w:sz="4" w:space="0" w:color="auto"/>
            </w:tcBorders>
            <w:shd w:val="clear" w:color="auto" w:fill="auto"/>
            <w:noWrap/>
            <w:vAlign w:val="bottom"/>
            <w:hideMark/>
          </w:tcPr>
          <w:p w14:paraId="77546F63"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84 </w:t>
            </w:r>
          </w:p>
        </w:tc>
        <w:tc>
          <w:tcPr>
            <w:tcW w:w="1023" w:type="dxa"/>
            <w:tcBorders>
              <w:top w:val="nil"/>
              <w:left w:val="nil"/>
              <w:bottom w:val="single" w:sz="4" w:space="0" w:color="auto"/>
              <w:right w:val="single" w:sz="4" w:space="0" w:color="auto"/>
            </w:tcBorders>
            <w:shd w:val="clear" w:color="auto" w:fill="auto"/>
            <w:noWrap/>
            <w:vAlign w:val="bottom"/>
            <w:hideMark/>
          </w:tcPr>
          <w:p w14:paraId="7D422BA3"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2,3%</w:t>
            </w:r>
          </w:p>
        </w:tc>
        <w:tc>
          <w:tcPr>
            <w:tcW w:w="907" w:type="dxa"/>
            <w:tcBorders>
              <w:top w:val="nil"/>
              <w:left w:val="nil"/>
              <w:bottom w:val="single" w:sz="4" w:space="0" w:color="auto"/>
              <w:right w:val="single" w:sz="4" w:space="0" w:color="auto"/>
            </w:tcBorders>
            <w:shd w:val="clear" w:color="auto" w:fill="auto"/>
            <w:noWrap/>
            <w:vAlign w:val="bottom"/>
            <w:hideMark/>
          </w:tcPr>
          <w:p w14:paraId="6E910406"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-121 </w:t>
            </w:r>
          </w:p>
        </w:tc>
        <w:tc>
          <w:tcPr>
            <w:tcW w:w="990" w:type="dxa"/>
            <w:tcBorders>
              <w:top w:val="nil"/>
              <w:left w:val="nil"/>
              <w:bottom w:val="single" w:sz="4" w:space="0" w:color="auto"/>
              <w:right w:val="single" w:sz="4" w:space="0" w:color="auto"/>
            </w:tcBorders>
            <w:shd w:val="clear" w:color="auto" w:fill="auto"/>
            <w:noWrap/>
            <w:vAlign w:val="bottom"/>
            <w:hideMark/>
          </w:tcPr>
          <w:p w14:paraId="4C54451A"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-3,1%</w:t>
            </w:r>
          </w:p>
        </w:tc>
      </w:tr>
      <w:tr w:rsidR="00394C7E" w:rsidRPr="006148E8" w14:paraId="3D70BF70" w14:textId="77777777" w:rsidTr="001763DB">
        <w:trPr>
          <w:trHeight w:val="286"/>
        </w:trPr>
        <w:tc>
          <w:tcPr>
            <w:tcW w:w="5737" w:type="dxa"/>
            <w:tcBorders>
              <w:top w:val="nil"/>
              <w:left w:val="single" w:sz="4" w:space="0" w:color="auto"/>
              <w:bottom w:val="single" w:sz="4" w:space="0" w:color="auto"/>
              <w:right w:val="single" w:sz="4" w:space="0" w:color="auto"/>
            </w:tcBorders>
            <w:shd w:val="clear" w:color="auto" w:fill="auto"/>
            <w:vAlign w:val="bottom"/>
            <w:hideMark/>
          </w:tcPr>
          <w:p w14:paraId="0DCD44BF"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lastRenderedPageBreak/>
              <w:t>Macellerie</w:t>
            </w:r>
          </w:p>
        </w:tc>
        <w:tc>
          <w:tcPr>
            <w:tcW w:w="938" w:type="dxa"/>
            <w:tcBorders>
              <w:top w:val="nil"/>
              <w:left w:val="nil"/>
              <w:bottom w:val="single" w:sz="4" w:space="0" w:color="auto"/>
              <w:right w:val="single" w:sz="4" w:space="0" w:color="auto"/>
            </w:tcBorders>
            <w:shd w:val="clear" w:color="auto" w:fill="auto"/>
            <w:noWrap/>
            <w:vAlign w:val="bottom"/>
            <w:hideMark/>
          </w:tcPr>
          <w:p w14:paraId="16D2FFD2"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-1.276 </w:t>
            </w:r>
          </w:p>
        </w:tc>
        <w:tc>
          <w:tcPr>
            <w:tcW w:w="1023" w:type="dxa"/>
            <w:tcBorders>
              <w:top w:val="nil"/>
              <w:left w:val="nil"/>
              <w:bottom w:val="single" w:sz="4" w:space="0" w:color="auto"/>
              <w:right w:val="single" w:sz="4" w:space="0" w:color="auto"/>
            </w:tcBorders>
            <w:shd w:val="clear" w:color="auto" w:fill="auto"/>
            <w:noWrap/>
            <w:vAlign w:val="bottom"/>
            <w:hideMark/>
          </w:tcPr>
          <w:p w14:paraId="37ACEA1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-16,6%</w:t>
            </w:r>
          </w:p>
        </w:tc>
        <w:tc>
          <w:tcPr>
            <w:tcW w:w="907" w:type="dxa"/>
            <w:tcBorders>
              <w:top w:val="nil"/>
              <w:left w:val="nil"/>
              <w:bottom w:val="single" w:sz="4" w:space="0" w:color="auto"/>
              <w:right w:val="single" w:sz="4" w:space="0" w:color="auto"/>
            </w:tcBorders>
            <w:shd w:val="clear" w:color="auto" w:fill="auto"/>
            <w:noWrap/>
            <w:vAlign w:val="bottom"/>
            <w:hideMark/>
          </w:tcPr>
          <w:p w14:paraId="7F9E37AB"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-607 </w:t>
            </w:r>
          </w:p>
        </w:tc>
        <w:tc>
          <w:tcPr>
            <w:tcW w:w="990" w:type="dxa"/>
            <w:tcBorders>
              <w:top w:val="nil"/>
              <w:left w:val="nil"/>
              <w:bottom w:val="single" w:sz="4" w:space="0" w:color="auto"/>
              <w:right w:val="single" w:sz="4" w:space="0" w:color="auto"/>
            </w:tcBorders>
            <w:shd w:val="clear" w:color="auto" w:fill="auto"/>
            <w:noWrap/>
            <w:vAlign w:val="bottom"/>
            <w:hideMark/>
          </w:tcPr>
          <w:p w14:paraId="73CA92DB"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-8,6%</w:t>
            </w:r>
          </w:p>
        </w:tc>
      </w:tr>
      <w:tr w:rsidR="00394C7E" w:rsidRPr="006148E8" w14:paraId="7A7876CF" w14:textId="77777777" w:rsidTr="001763DB">
        <w:trPr>
          <w:trHeight w:val="236"/>
        </w:trPr>
        <w:tc>
          <w:tcPr>
            <w:tcW w:w="5737" w:type="dxa"/>
            <w:tcBorders>
              <w:top w:val="nil"/>
              <w:left w:val="single" w:sz="4" w:space="0" w:color="auto"/>
              <w:bottom w:val="single" w:sz="4" w:space="0" w:color="auto"/>
              <w:right w:val="single" w:sz="4" w:space="0" w:color="auto"/>
            </w:tcBorders>
            <w:shd w:val="clear" w:color="auto" w:fill="auto"/>
            <w:vAlign w:val="bottom"/>
            <w:hideMark/>
          </w:tcPr>
          <w:p w14:paraId="296D0A7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Pescherie</w:t>
            </w:r>
          </w:p>
        </w:tc>
        <w:tc>
          <w:tcPr>
            <w:tcW w:w="938" w:type="dxa"/>
            <w:tcBorders>
              <w:top w:val="nil"/>
              <w:left w:val="nil"/>
              <w:bottom w:val="single" w:sz="4" w:space="0" w:color="auto"/>
              <w:right w:val="single" w:sz="4" w:space="0" w:color="auto"/>
            </w:tcBorders>
            <w:shd w:val="clear" w:color="auto" w:fill="auto"/>
            <w:noWrap/>
            <w:vAlign w:val="bottom"/>
            <w:hideMark/>
          </w:tcPr>
          <w:p w14:paraId="5737952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-111 </w:t>
            </w:r>
          </w:p>
        </w:tc>
        <w:tc>
          <w:tcPr>
            <w:tcW w:w="1023" w:type="dxa"/>
            <w:tcBorders>
              <w:top w:val="nil"/>
              <w:left w:val="nil"/>
              <w:bottom w:val="single" w:sz="4" w:space="0" w:color="auto"/>
              <w:right w:val="single" w:sz="4" w:space="0" w:color="auto"/>
            </w:tcBorders>
            <w:shd w:val="clear" w:color="auto" w:fill="auto"/>
            <w:noWrap/>
            <w:vAlign w:val="bottom"/>
            <w:hideMark/>
          </w:tcPr>
          <w:p w14:paraId="0A62DBA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-5,7%</w:t>
            </w:r>
          </w:p>
        </w:tc>
        <w:tc>
          <w:tcPr>
            <w:tcW w:w="907" w:type="dxa"/>
            <w:tcBorders>
              <w:top w:val="nil"/>
              <w:left w:val="nil"/>
              <w:bottom w:val="single" w:sz="4" w:space="0" w:color="auto"/>
              <w:right w:val="single" w:sz="4" w:space="0" w:color="auto"/>
            </w:tcBorders>
            <w:shd w:val="clear" w:color="auto" w:fill="auto"/>
            <w:noWrap/>
            <w:vAlign w:val="bottom"/>
            <w:hideMark/>
          </w:tcPr>
          <w:p w14:paraId="0D917C9F"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-94 </w:t>
            </w:r>
          </w:p>
        </w:tc>
        <w:tc>
          <w:tcPr>
            <w:tcW w:w="990" w:type="dxa"/>
            <w:tcBorders>
              <w:top w:val="nil"/>
              <w:left w:val="nil"/>
              <w:bottom w:val="single" w:sz="4" w:space="0" w:color="auto"/>
              <w:right w:val="single" w:sz="4" w:space="0" w:color="auto"/>
            </w:tcBorders>
            <w:shd w:val="clear" w:color="auto" w:fill="auto"/>
            <w:noWrap/>
            <w:vAlign w:val="bottom"/>
            <w:hideMark/>
          </w:tcPr>
          <w:p w14:paraId="2166A94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-4,8%</w:t>
            </w:r>
          </w:p>
        </w:tc>
      </w:tr>
      <w:tr w:rsidR="00394C7E" w:rsidRPr="006148E8" w14:paraId="6037D35F" w14:textId="77777777" w:rsidTr="001763DB">
        <w:trPr>
          <w:trHeight w:val="236"/>
        </w:trPr>
        <w:tc>
          <w:tcPr>
            <w:tcW w:w="5737" w:type="dxa"/>
            <w:tcBorders>
              <w:top w:val="nil"/>
              <w:left w:val="single" w:sz="4" w:space="0" w:color="auto"/>
              <w:bottom w:val="single" w:sz="4" w:space="0" w:color="auto"/>
              <w:right w:val="single" w:sz="4" w:space="0" w:color="auto"/>
            </w:tcBorders>
            <w:shd w:val="clear" w:color="auto" w:fill="auto"/>
            <w:vAlign w:val="bottom"/>
            <w:hideMark/>
          </w:tcPr>
          <w:p w14:paraId="7A72CC9F"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Panetterie</w:t>
            </w:r>
          </w:p>
        </w:tc>
        <w:tc>
          <w:tcPr>
            <w:tcW w:w="938" w:type="dxa"/>
            <w:tcBorders>
              <w:top w:val="nil"/>
              <w:left w:val="nil"/>
              <w:bottom w:val="single" w:sz="4" w:space="0" w:color="auto"/>
              <w:right w:val="single" w:sz="4" w:space="0" w:color="auto"/>
            </w:tcBorders>
            <w:shd w:val="clear" w:color="auto" w:fill="auto"/>
            <w:noWrap/>
            <w:vAlign w:val="bottom"/>
            <w:hideMark/>
          </w:tcPr>
          <w:p w14:paraId="2120DF7B"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-188 </w:t>
            </w:r>
          </w:p>
        </w:tc>
        <w:tc>
          <w:tcPr>
            <w:tcW w:w="1023" w:type="dxa"/>
            <w:tcBorders>
              <w:top w:val="nil"/>
              <w:left w:val="nil"/>
              <w:bottom w:val="single" w:sz="4" w:space="0" w:color="auto"/>
              <w:right w:val="single" w:sz="4" w:space="0" w:color="auto"/>
            </w:tcBorders>
            <w:shd w:val="clear" w:color="auto" w:fill="auto"/>
            <w:noWrap/>
            <w:vAlign w:val="bottom"/>
            <w:hideMark/>
          </w:tcPr>
          <w:p w14:paraId="052A44EF"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-18,5%</w:t>
            </w:r>
          </w:p>
        </w:tc>
        <w:tc>
          <w:tcPr>
            <w:tcW w:w="907" w:type="dxa"/>
            <w:tcBorders>
              <w:top w:val="nil"/>
              <w:left w:val="nil"/>
              <w:bottom w:val="single" w:sz="4" w:space="0" w:color="auto"/>
              <w:right w:val="single" w:sz="4" w:space="0" w:color="auto"/>
            </w:tcBorders>
            <w:shd w:val="clear" w:color="auto" w:fill="auto"/>
            <w:noWrap/>
            <w:vAlign w:val="bottom"/>
            <w:hideMark/>
          </w:tcPr>
          <w:p w14:paraId="41A330B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-143 </w:t>
            </w:r>
          </w:p>
        </w:tc>
        <w:tc>
          <w:tcPr>
            <w:tcW w:w="990" w:type="dxa"/>
            <w:tcBorders>
              <w:top w:val="nil"/>
              <w:left w:val="nil"/>
              <w:bottom w:val="single" w:sz="4" w:space="0" w:color="auto"/>
              <w:right w:val="single" w:sz="4" w:space="0" w:color="auto"/>
            </w:tcBorders>
            <w:shd w:val="clear" w:color="auto" w:fill="auto"/>
            <w:noWrap/>
            <w:vAlign w:val="bottom"/>
            <w:hideMark/>
          </w:tcPr>
          <w:p w14:paraId="2C9160B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-14,7%</w:t>
            </w:r>
          </w:p>
        </w:tc>
      </w:tr>
      <w:tr w:rsidR="00394C7E" w:rsidRPr="006148E8" w14:paraId="36507B45" w14:textId="77777777" w:rsidTr="001763DB">
        <w:trPr>
          <w:trHeight w:val="236"/>
        </w:trPr>
        <w:tc>
          <w:tcPr>
            <w:tcW w:w="5737" w:type="dxa"/>
            <w:tcBorders>
              <w:top w:val="nil"/>
              <w:left w:val="single" w:sz="4" w:space="0" w:color="auto"/>
              <w:bottom w:val="single" w:sz="4" w:space="0" w:color="auto"/>
              <w:right w:val="single" w:sz="4" w:space="0" w:color="auto"/>
            </w:tcBorders>
            <w:shd w:val="clear" w:color="auto" w:fill="auto"/>
            <w:vAlign w:val="bottom"/>
            <w:hideMark/>
          </w:tcPr>
          <w:p w14:paraId="58B4D8A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Negozi di Bevande</w:t>
            </w:r>
          </w:p>
        </w:tc>
        <w:tc>
          <w:tcPr>
            <w:tcW w:w="938" w:type="dxa"/>
            <w:tcBorders>
              <w:top w:val="nil"/>
              <w:left w:val="nil"/>
              <w:bottom w:val="single" w:sz="4" w:space="0" w:color="auto"/>
              <w:right w:val="single" w:sz="4" w:space="0" w:color="auto"/>
            </w:tcBorders>
            <w:shd w:val="clear" w:color="auto" w:fill="auto"/>
            <w:noWrap/>
            <w:vAlign w:val="bottom"/>
            <w:hideMark/>
          </w:tcPr>
          <w:p w14:paraId="2CE7484B"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-4 </w:t>
            </w:r>
          </w:p>
        </w:tc>
        <w:tc>
          <w:tcPr>
            <w:tcW w:w="1023" w:type="dxa"/>
            <w:tcBorders>
              <w:top w:val="nil"/>
              <w:left w:val="nil"/>
              <w:bottom w:val="single" w:sz="4" w:space="0" w:color="auto"/>
              <w:right w:val="single" w:sz="4" w:space="0" w:color="auto"/>
            </w:tcBorders>
            <w:shd w:val="clear" w:color="auto" w:fill="auto"/>
            <w:noWrap/>
            <w:vAlign w:val="bottom"/>
            <w:hideMark/>
          </w:tcPr>
          <w:p w14:paraId="3FCD3AB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-0,3%</w:t>
            </w:r>
          </w:p>
        </w:tc>
        <w:tc>
          <w:tcPr>
            <w:tcW w:w="907" w:type="dxa"/>
            <w:tcBorders>
              <w:top w:val="nil"/>
              <w:left w:val="nil"/>
              <w:bottom w:val="single" w:sz="4" w:space="0" w:color="auto"/>
              <w:right w:val="single" w:sz="4" w:space="0" w:color="auto"/>
            </w:tcBorders>
            <w:shd w:val="clear" w:color="auto" w:fill="auto"/>
            <w:noWrap/>
            <w:vAlign w:val="bottom"/>
            <w:hideMark/>
          </w:tcPr>
          <w:p w14:paraId="3F53482A"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-35 </w:t>
            </w:r>
          </w:p>
        </w:tc>
        <w:tc>
          <w:tcPr>
            <w:tcW w:w="990" w:type="dxa"/>
            <w:tcBorders>
              <w:top w:val="nil"/>
              <w:left w:val="nil"/>
              <w:bottom w:val="single" w:sz="4" w:space="0" w:color="auto"/>
              <w:right w:val="single" w:sz="4" w:space="0" w:color="auto"/>
            </w:tcBorders>
            <w:shd w:val="clear" w:color="auto" w:fill="auto"/>
            <w:noWrap/>
            <w:vAlign w:val="bottom"/>
            <w:hideMark/>
          </w:tcPr>
          <w:p w14:paraId="7904557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-2,7%</w:t>
            </w:r>
          </w:p>
        </w:tc>
      </w:tr>
      <w:tr w:rsidR="00394C7E" w:rsidRPr="006148E8" w14:paraId="7F70DEEA" w14:textId="77777777" w:rsidTr="001763DB">
        <w:trPr>
          <w:trHeight w:val="133"/>
        </w:trPr>
        <w:tc>
          <w:tcPr>
            <w:tcW w:w="5737" w:type="dxa"/>
            <w:tcBorders>
              <w:top w:val="nil"/>
              <w:left w:val="single" w:sz="4" w:space="0" w:color="auto"/>
              <w:bottom w:val="single" w:sz="4" w:space="0" w:color="auto"/>
              <w:right w:val="single" w:sz="4" w:space="0" w:color="auto"/>
            </w:tcBorders>
            <w:shd w:val="clear" w:color="auto" w:fill="auto"/>
            <w:vAlign w:val="bottom"/>
            <w:hideMark/>
          </w:tcPr>
          <w:p w14:paraId="4895DE42"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Tabaccherie</w:t>
            </w:r>
          </w:p>
        </w:tc>
        <w:tc>
          <w:tcPr>
            <w:tcW w:w="938" w:type="dxa"/>
            <w:tcBorders>
              <w:top w:val="nil"/>
              <w:left w:val="nil"/>
              <w:bottom w:val="single" w:sz="4" w:space="0" w:color="auto"/>
              <w:right w:val="single" w:sz="4" w:space="0" w:color="auto"/>
            </w:tcBorders>
            <w:shd w:val="clear" w:color="auto" w:fill="auto"/>
            <w:noWrap/>
            <w:vAlign w:val="bottom"/>
            <w:hideMark/>
          </w:tcPr>
          <w:p w14:paraId="387C5BC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524 </w:t>
            </w:r>
          </w:p>
        </w:tc>
        <w:tc>
          <w:tcPr>
            <w:tcW w:w="1023" w:type="dxa"/>
            <w:tcBorders>
              <w:top w:val="nil"/>
              <w:left w:val="nil"/>
              <w:bottom w:val="single" w:sz="4" w:space="0" w:color="auto"/>
              <w:right w:val="single" w:sz="4" w:space="0" w:color="auto"/>
            </w:tcBorders>
            <w:shd w:val="clear" w:color="auto" w:fill="auto"/>
            <w:noWrap/>
            <w:vAlign w:val="bottom"/>
            <w:hideMark/>
          </w:tcPr>
          <w:p w14:paraId="15DA887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6,7%</w:t>
            </w:r>
          </w:p>
        </w:tc>
        <w:tc>
          <w:tcPr>
            <w:tcW w:w="907" w:type="dxa"/>
            <w:tcBorders>
              <w:top w:val="nil"/>
              <w:left w:val="nil"/>
              <w:bottom w:val="single" w:sz="4" w:space="0" w:color="auto"/>
              <w:right w:val="single" w:sz="4" w:space="0" w:color="auto"/>
            </w:tcBorders>
            <w:shd w:val="clear" w:color="auto" w:fill="auto"/>
            <w:noWrap/>
            <w:vAlign w:val="bottom"/>
            <w:hideMark/>
          </w:tcPr>
          <w:p w14:paraId="7BB0F6AB"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-11 </w:t>
            </w:r>
          </w:p>
        </w:tc>
        <w:tc>
          <w:tcPr>
            <w:tcW w:w="990" w:type="dxa"/>
            <w:tcBorders>
              <w:top w:val="nil"/>
              <w:left w:val="nil"/>
              <w:bottom w:val="single" w:sz="4" w:space="0" w:color="auto"/>
              <w:right w:val="single" w:sz="4" w:space="0" w:color="auto"/>
            </w:tcBorders>
            <w:shd w:val="clear" w:color="auto" w:fill="auto"/>
            <w:noWrap/>
            <w:vAlign w:val="bottom"/>
            <w:hideMark/>
          </w:tcPr>
          <w:p w14:paraId="4EF3F0F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-0,1%</w:t>
            </w:r>
          </w:p>
        </w:tc>
      </w:tr>
      <w:tr w:rsidR="00394C7E" w:rsidRPr="006148E8" w14:paraId="5E1E2B0E" w14:textId="77777777" w:rsidTr="001763DB">
        <w:trPr>
          <w:trHeight w:val="279"/>
        </w:trPr>
        <w:tc>
          <w:tcPr>
            <w:tcW w:w="5737" w:type="dxa"/>
            <w:tcBorders>
              <w:top w:val="nil"/>
              <w:left w:val="single" w:sz="4" w:space="0" w:color="auto"/>
              <w:bottom w:val="single" w:sz="4" w:space="0" w:color="auto"/>
              <w:right w:val="single" w:sz="4" w:space="0" w:color="auto"/>
            </w:tcBorders>
            <w:shd w:val="clear" w:color="auto" w:fill="auto"/>
            <w:vAlign w:val="bottom"/>
            <w:hideMark/>
          </w:tcPr>
          <w:p w14:paraId="2824C26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Distributori carburanti</w:t>
            </w:r>
          </w:p>
        </w:tc>
        <w:tc>
          <w:tcPr>
            <w:tcW w:w="938" w:type="dxa"/>
            <w:tcBorders>
              <w:top w:val="nil"/>
              <w:left w:val="nil"/>
              <w:bottom w:val="single" w:sz="4" w:space="0" w:color="auto"/>
              <w:right w:val="single" w:sz="4" w:space="0" w:color="auto"/>
            </w:tcBorders>
            <w:shd w:val="clear" w:color="auto" w:fill="auto"/>
            <w:noWrap/>
            <w:vAlign w:val="bottom"/>
            <w:hideMark/>
          </w:tcPr>
          <w:p w14:paraId="2541B10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-1.051 </w:t>
            </w:r>
          </w:p>
        </w:tc>
        <w:tc>
          <w:tcPr>
            <w:tcW w:w="1023" w:type="dxa"/>
            <w:tcBorders>
              <w:top w:val="nil"/>
              <w:left w:val="nil"/>
              <w:bottom w:val="single" w:sz="4" w:space="0" w:color="auto"/>
              <w:right w:val="single" w:sz="4" w:space="0" w:color="auto"/>
            </w:tcBorders>
            <w:shd w:val="clear" w:color="auto" w:fill="auto"/>
            <w:noWrap/>
            <w:vAlign w:val="bottom"/>
            <w:hideMark/>
          </w:tcPr>
          <w:p w14:paraId="6430E5FB"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-20,4%</w:t>
            </w:r>
          </w:p>
        </w:tc>
        <w:tc>
          <w:tcPr>
            <w:tcW w:w="907" w:type="dxa"/>
            <w:tcBorders>
              <w:top w:val="nil"/>
              <w:left w:val="nil"/>
              <w:bottom w:val="single" w:sz="4" w:space="0" w:color="auto"/>
              <w:right w:val="single" w:sz="4" w:space="0" w:color="auto"/>
            </w:tcBorders>
            <w:shd w:val="clear" w:color="auto" w:fill="auto"/>
            <w:noWrap/>
            <w:vAlign w:val="bottom"/>
            <w:hideMark/>
          </w:tcPr>
          <w:p w14:paraId="42F3ADD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-541 </w:t>
            </w:r>
          </w:p>
        </w:tc>
        <w:tc>
          <w:tcPr>
            <w:tcW w:w="990" w:type="dxa"/>
            <w:tcBorders>
              <w:top w:val="nil"/>
              <w:left w:val="nil"/>
              <w:bottom w:val="single" w:sz="4" w:space="0" w:color="auto"/>
              <w:right w:val="single" w:sz="4" w:space="0" w:color="auto"/>
            </w:tcBorders>
            <w:shd w:val="clear" w:color="auto" w:fill="auto"/>
            <w:noWrap/>
            <w:vAlign w:val="bottom"/>
            <w:hideMark/>
          </w:tcPr>
          <w:p w14:paraId="1961F5C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-11,6%</w:t>
            </w:r>
          </w:p>
        </w:tc>
      </w:tr>
      <w:tr w:rsidR="00394C7E" w:rsidRPr="006148E8" w14:paraId="2F70846E" w14:textId="77777777" w:rsidTr="001763DB">
        <w:trPr>
          <w:trHeight w:val="270"/>
        </w:trPr>
        <w:tc>
          <w:tcPr>
            <w:tcW w:w="5737" w:type="dxa"/>
            <w:tcBorders>
              <w:top w:val="nil"/>
              <w:left w:val="single" w:sz="4" w:space="0" w:color="auto"/>
              <w:bottom w:val="single" w:sz="4" w:space="0" w:color="auto"/>
              <w:right w:val="single" w:sz="4" w:space="0" w:color="auto"/>
            </w:tcBorders>
            <w:shd w:val="clear" w:color="auto" w:fill="auto"/>
            <w:vAlign w:val="bottom"/>
            <w:hideMark/>
          </w:tcPr>
          <w:p w14:paraId="4666A38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Ferramenta</w:t>
            </w:r>
          </w:p>
        </w:tc>
        <w:tc>
          <w:tcPr>
            <w:tcW w:w="938" w:type="dxa"/>
            <w:tcBorders>
              <w:top w:val="nil"/>
              <w:left w:val="nil"/>
              <w:bottom w:val="single" w:sz="4" w:space="0" w:color="auto"/>
              <w:right w:val="single" w:sz="4" w:space="0" w:color="auto"/>
            </w:tcBorders>
            <w:shd w:val="clear" w:color="auto" w:fill="auto"/>
            <w:noWrap/>
            <w:vAlign w:val="bottom"/>
            <w:hideMark/>
          </w:tcPr>
          <w:p w14:paraId="6A9C846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-893 </w:t>
            </w:r>
          </w:p>
        </w:tc>
        <w:tc>
          <w:tcPr>
            <w:tcW w:w="1023" w:type="dxa"/>
            <w:tcBorders>
              <w:top w:val="nil"/>
              <w:left w:val="nil"/>
              <w:bottom w:val="single" w:sz="4" w:space="0" w:color="auto"/>
              <w:right w:val="single" w:sz="4" w:space="0" w:color="auto"/>
            </w:tcBorders>
            <w:shd w:val="clear" w:color="auto" w:fill="auto"/>
            <w:noWrap/>
            <w:vAlign w:val="bottom"/>
            <w:hideMark/>
          </w:tcPr>
          <w:p w14:paraId="118F4D4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-17,8%</w:t>
            </w:r>
          </w:p>
        </w:tc>
        <w:tc>
          <w:tcPr>
            <w:tcW w:w="907" w:type="dxa"/>
            <w:tcBorders>
              <w:top w:val="nil"/>
              <w:left w:val="nil"/>
              <w:bottom w:val="single" w:sz="4" w:space="0" w:color="auto"/>
              <w:right w:val="single" w:sz="4" w:space="0" w:color="auto"/>
            </w:tcBorders>
            <w:shd w:val="clear" w:color="auto" w:fill="auto"/>
            <w:noWrap/>
            <w:vAlign w:val="bottom"/>
            <w:hideMark/>
          </w:tcPr>
          <w:p w14:paraId="4193DCE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-449 </w:t>
            </w:r>
          </w:p>
        </w:tc>
        <w:tc>
          <w:tcPr>
            <w:tcW w:w="990" w:type="dxa"/>
            <w:tcBorders>
              <w:top w:val="nil"/>
              <w:left w:val="nil"/>
              <w:bottom w:val="single" w:sz="4" w:space="0" w:color="auto"/>
              <w:right w:val="single" w:sz="4" w:space="0" w:color="auto"/>
            </w:tcBorders>
            <w:shd w:val="clear" w:color="auto" w:fill="auto"/>
            <w:noWrap/>
            <w:vAlign w:val="bottom"/>
            <w:hideMark/>
          </w:tcPr>
          <w:p w14:paraId="608D7FE6"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-9,8%</w:t>
            </w:r>
          </w:p>
        </w:tc>
      </w:tr>
      <w:tr w:rsidR="00394C7E" w:rsidRPr="006148E8" w14:paraId="0432172B" w14:textId="77777777" w:rsidTr="001763DB">
        <w:trPr>
          <w:trHeight w:val="144"/>
        </w:trPr>
        <w:tc>
          <w:tcPr>
            <w:tcW w:w="5737" w:type="dxa"/>
            <w:tcBorders>
              <w:top w:val="nil"/>
              <w:left w:val="single" w:sz="4" w:space="0" w:color="auto"/>
              <w:bottom w:val="single" w:sz="4" w:space="0" w:color="auto"/>
              <w:right w:val="single" w:sz="4" w:space="0" w:color="auto"/>
            </w:tcBorders>
            <w:shd w:val="clear" w:color="auto" w:fill="auto"/>
            <w:vAlign w:val="bottom"/>
            <w:hideMark/>
          </w:tcPr>
          <w:p w14:paraId="0A953CB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Librerie</w:t>
            </w:r>
          </w:p>
        </w:tc>
        <w:tc>
          <w:tcPr>
            <w:tcW w:w="938" w:type="dxa"/>
            <w:tcBorders>
              <w:top w:val="nil"/>
              <w:left w:val="nil"/>
              <w:bottom w:val="single" w:sz="4" w:space="0" w:color="auto"/>
              <w:right w:val="single" w:sz="4" w:space="0" w:color="auto"/>
            </w:tcBorders>
            <w:shd w:val="clear" w:color="auto" w:fill="auto"/>
            <w:noWrap/>
            <w:vAlign w:val="bottom"/>
            <w:hideMark/>
          </w:tcPr>
          <w:p w14:paraId="1A4605C7"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15 </w:t>
            </w:r>
          </w:p>
        </w:tc>
        <w:tc>
          <w:tcPr>
            <w:tcW w:w="1023" w:type="dxa"/>
            <w:tcBorders>
              <w:top w:val="nil"/>
              <w:left w:val="nil"/>
              <w:bottom w:val="single" w:sz="4" w:space="0" w:color="auto"/>
              <w:right w:val="single" w:sz="4" w:space="0" w:color="auto"/>
            </w:tcBorders>
            <w:shd w:val="clear" w:color="auto" w:fill="auto"/>
            <w:noWrap/>
            <w:vAlign w:val="bottom"/>
            <w:hideMark/>
          </w:tcPr>
          <w:p w14:paraId="0B5874F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1,3%</w:t>
            </w:r>
          </w:p>
        </w:tc>
        <w:tc>
          <w:tcPr>
            <w:tcW w:w="907" w:type="dxa"/>
            <w:tcBorders>
              <w:top w:val="nil"/>
              <w:left w:val="nil"/>
              <w:bottom w:val="single" w:sz="4" w:space="0" w:color="auto"/>
              <w:right w:val="single" w:sz="4" w:space="0" w:color="auto"/>
            </w:tcBorders>
            <w:shd w:val="clear" w:color="auto" w:fill="auto"/>
            <w:noWrap/>
            <w:vAlign w:val="bottom"/>
            <w:hideMark/>
          </w:tcPr>
          <w:p w14:paraId="5B8C011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 </w:t>
            </w:r>
          </w:p>
        </w:tc>
        <w:tc>
          <w:tcPr>
            <w:tcW w:w="990" w:type="dxa"/>
            <w:tcBorders>
              <w:top w:val="nil"/>
              <w:left w:val="nil"/>
              <w:bottom w:val="single" w:sz="4" w:space="0" w:color="auto"/>
              <w:right w:val="single" w:sz="4" w:space="0" w:color="auto"/>
            </w:tcBorders>
            <w:shd w:val="clear" w:color="auto" w:fill="auto"/>
            <w:noWrap/>
            <w:vAlign w:val="bottom"/>
            <w:hideMark/>
          </w:tcPr>
          <w:p w14:paraId="2513D07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0,1%</w:t>
            </w:r>
          </w:p>
        </w:tc>
      </w:tr>
      <w:tr w:rsidR="00394C7E" w:rsidRPr="006148E8" w14:paraId="49FF8E75" w14:textId="77777777" w:rsidTr="001763DB">
        <w:trPr>
          <w:trHeight w:val="236"/>
        </w:trPr>
        <w:tc>
          <w:tcPr>
            <w:tcW w:w="5737" w:type="dxa"/>
            <w:tcBorders>
              <w:top w:val="nil"/>
              <w:left w:val="single" w:sz="4" w:space="0" w:color="auto"/>
              <w:bottom w:val="single" w:sz="4" w:space="0" w:color="auto"/>
              <w:right w:val="single" w:sz="4" w:space="0" w:color="auto"/>
            </w:tcBorders>
            <w:shd w:val="clear" w:color="auto" w:fill="auto"/>
            <w:vAlign w:val="bottom"/>
            <w:hideMark/>
          </w:tcPr>
          <w:p w14:paraId="10AF723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Giornalai</w:t>
            </w:r>
          </w:p>
        </w:tc>
        <w:tc>
          <w:tcPr>
            <w:tcW w:w="938" w:type="dxa"/>
            <w:tcBorders>
              <w:top w:val="nil"/>
              <w:left w:val="nil"/>
              <w:bottom w:val="single" w:sz="4" w:space="0" w:color="auto"/>
              <w:right w:val="single" w:sz="4" w:space="0" w:color="auto"/>
            </w:tcBorders>
            <w:shd w:val="clear" w:color="auto" w:fill="auto"/>
            <w:noWrap/>
            <w:vAlign w:val="bottom"/>
            <w:hideMark/>
          </w:tcPr>
          <w:p w14:paraId="35BE48A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-1.582 </w:t>
            </w:r>
          </w:p>
        </w:tc>
        <w:tc>
          <w:tcPr>
            <w:tcW w:w="1023" w:type="dxa"/>
            <w:tcBorders>
              <w:top w:val="nil"/>
              <w:left w:val="nil"/>
              <w:bottom w:val="single" w:sz="4" w:space="0" w:color="auto"/>
              <w:right w:val="single" w:sz="4" w:space="0" w:color="auto"/>
            </w:tcBorders>
            <w:shd w:val="clear" w:color="auto" w:fill="auto"/>
            <w:noWrap/>
            <w:vAlign w:val="bottom"/>
            <w:hideMark/>
          </w:tcPr>
          <w:p w14:paraId="5FF70FBA"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-36,9%</w:t>
            </w:r>
          </w:p>
        </w:tc>
        <w:tc>
          <w:tcPr>
            <w:tcW w:w="907" w:type="dxa"/>
            <w:tcBorders>
              <w:top w:val="nil"/>
              <w:left w:val="nil"/>
              <w:bottom w:val="single" w:sz="4" w:space="0" w:color="auto"/>
              <w:right w:val="single" w:sz="4" w:space="0" w:color="auto"/>
            </w:tcBorders>
            <w:shd w:val="clear" w:color="auto" w:fill="auto"/>
            <w:noWrap/>
            <w:vAlign w:val="bottom"/>
            <w:hideMark/>
          </w:tcPr>
          <w:p w14:paraId="24234E9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-758 </w:t>
            </w:r>
          </w:p>
        </w:tc>
        <w:tc>
          <w:tcPr>
            <w:tcW w:w="990" w:type="dxa"/>
            <w:tcBorders>
              <w:top w:val="nil"/>
              <w:left w:val="nil"/>
              <w:bottom w:val="single" w:sz="4" w:space="0" w:color="auto"/>
              <w:right w:val="single" w:sz="4" w:space="0" w:color="auto"/>
            </w:tcBorders>
            <w:shd w:val="clear" w:color="auto" w:fill="auto"/>
            <w:noWrap/>
            <w:vAlign w:val="bottom"/>
            <w:hideMark/>
          </w:tcPr>
          <w:p w14:paraId="798A4ED7"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-21,9%</w:t>
            </w:r>
          </w:p>
        </w:tc>
      </w:tr>
      <w:tr w:rsidR="00394C7E" w:rsidRPr="006148E8" w14:paraId="2B02E12D" w14:textId="77777777" w:rsidTr="001763DB">
        <w:trPr>
          <w:trHeight w:val="236"/>
        </w:trPr>
        <w:tc>
          <w:tcPr>
            <w:tcW w:w="5737" w:type="dxa"/>
            <w:tcBorders>
              <w:top w:val="nil"/>
              <w:left w:val="single" w:sz="4" w:space="0" w:color="auto"/>
              <w:bottom w:val="single" w:sz="4" w:space="0" w:color="auto"/>
              <w:right w:val="single" w:sz="4" w:space="0" w:color="auto"/>
            </w:tcBorders>
            <w:shd w:val="clear" w:color="auto" w:fill="auto"/>
            <w:vAlign w:val="bottom"/>
            <w:hideMark/>
          </w:tcPr>
          <w:p w14:paraId="6C08FE2F" w14:textId="77777777" w:rsidR="0086262D" w:rsidRPr="006148E8" w:rsidRDefault="0086262D" w:rsidP="006148E8">
            <w:pPr>
              <w:jc w:val="both"/>
              <w:rPr>
                <w:rFonts w:eastAsia="Times New Roman" w:cstheme="majorHAnsi"/>
                <w:color w:val="000000" w:themeColor="text1"/>
                <w:lang w:eastAsia="it-IT"/>
              </w:rPr>
            </w:pPr>
            <w:r w:rsidRPr="006148E8">
              <w:rPr>
                <w:rFonts w:cstheme="majorHAnsi"/>
                <w:color w:val="000000" w:themeColor="text1"/>
              </w:rPr>
              <w:t>Confezioni per adulti</w:t>
            </w:r>
          </w:p>
        </w:tc>
        <w:tc>
          <w:tcPr>
            <w:tcW w:w="938" w:type="dxa"/>
            <w:tcBorders>
              <w:top w:val="nil"/>
              <w:left w:val="nil"/>
              <w:bottom w:val="single" w:sz="4" w:space="0" w:color="auto"/>
              <w:right w:val="single" w:sz="4" w:space="0" w:color="auto"/>
            </w:tcBorders>
            <w:shd w:val="clear" w:color="auto" w:fill="auto"/>
            <w:noWrap/>
            <w:vAlign w:val="bottom"/>
            <w:hideMark/>
          </w:tcPr>
          <w:p w14:paraId="300C4F8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2.465 </w:t>
            </w:r>
          </w:p>
        </w:tc>
        <w:tc>
          <w:tcPr>
            <w:tcW w:w="1023" w:type="dxa"/>
            <w:tcBorders>
              <w:top w:val="nil"/>
              <w:left w:val="nil"/>
              <w:bottom w:val="single" w:sz="4" w:space="0" w:color="auto"/>
              <w:right w:val="single" w:sz="4" w:space="0" w:color="auto"/>
            </w:tcBorders>
            <w:shd w:val="clear" w:color="auto" w:fill="auto"/>
            <w:noWrap/>
            <w:vAlign w:val="bottom"/>
            <w:hideMark/>
          </w:tcPr>
          <w:p w14:paraId="6354C57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28,9%</w:t>
            </w:r>
          </w:p>
        </w:tc>
        <w:tc>
          <w:tcPr>
            <w:tcW w:w="907" w:type="dxa"/>
            <w:tcBorders>
              <w:top w:val="nil"/>
              <w:left w:val="nil"/>
              <w:bottom w:val="single" w:sz="4" w:space="0" w:color="auto"/>
              <w:right w:val="single" w:sz="4" w:space="0" w:color="auto"/>
            </w:tcBorders>
            <w:shd w:val="clear" w:color="auto" w:fill="auto"/>
            <w:noWrap/>
            <w:vAlign w:val="bottom"/>
            <w:hideMark/>
          </w:tcPr>
          <w:p w14:paraId="46274522"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359 </w:t>
            </w:r>
          </w:p>
        </w:tc>
        <w:tc>
          <w:tcPr>
            <w:tcW w:w="990" w:type="dxa"/>
            <w:tcBorders>
              <w:top w:val="nil"/>
              <w:left w:val="nil"/>
              <w:bottom w:val="single" w:sz="4" w:space="0" w:color="auto"/>
              <w:right w:val="single" w:sz="4" w:space="0" w:color="auto"/>
            </w:tcBorders>
            <w:shd w:val="clear" w:color="auto" w:fill="auto"/>
            <w:noWrap/>
            <w:vAlign w:val="bottom"/>
            <w:hideMark/>
          </w:tcPr>
          <w:p w14:paraId="6B941552"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3,4%</w:t>
            </w:r>
          </w:p>
        </w:tc>
      </w:tr>
      <w:tr w:rsidR="00394C7E" w:rsidRPr="006148E8" w14:paraId="406206D1" w14:textId="77777777" w:rsidTr="001763DB">
        <w:trPr>
          <w:trHeight w:val="299"/>
        </w:trPr>
        <w:tc>
          <w:tcPr>
            <w:tcW w:w="5737" w:type="dxa"/>
            <w:tcBorders>
              <w:top w:val="nil"/>
              <w:left w:val="single" w:sz="4" w:space="0" w:color="auto"/>
              <w:bottom w:val="single" w:sz="4" w:space="0" w:color="auto"/>
              <w:right w:val="single" w:sz="4" w:space="0" w:color="auto"/>
            </w:tcBorders>
            <w:shd w:val="clear" w:color="auto" w:fill="auto"/>
            <w:vAlign w:val="bottom"/>
            <w:hideMark/>
          </w:tcPr>
          <w:p w14:paraId="288554E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Confezioni per bambini e neonati</w:t>
            </w:r>
          </w:p>
        </w:tc>
        <w:tc>
          <w:tcPr>
            <w:tcW w:w="938" w:type="dxa"/>
            <w:tcBorders>
              <w:top w:val="nil"/>
              <w:left w:val="nil"/>
              <w:bottom w:val="single" w:sz="4" w:space="0" w:color="auto"/>
              <w:right w:val="single" w:sz="4" w:space="0" w:color="auto"/>
            </w:tcBorders>
            <w:shd w:val="clear" w:color="auto" w:fill="auto"/>
            <w:noWrap/>
            <w:vAlign w:val="bottom"/>
            <w:hideMark/>
          </w:tcPr>
          <w:p w14:paraId="1E1664A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-316 </w:t>
            </w:r>
          </w:p>
        </w:tc>
        <w:tc>
          <w:tcPr>
            <w:tcW w:w="1023" w:type="dxa"/>
            <w:tcBorders>
              <w:top w:val="nil"/>
              <w:left w:val="nil"/>
              <w:bottom w:val="single" w:sz="4" w:space="0" w:color="auto"/>
              <w:right w:val="single" w:sz="4" w:space="0" w:color="auto"/>
            </w:tcBorders>
            <w:shd w:val="clear" w:color="auto" w:fill="auto"/>
            <w:noWrap/>
            <w:vAlign w:val="bottom"/>
            <w:hideMark/>
          </w:tcPr>
          <w:p w14:paraId="5C1F37FF"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-12,2%</w:t>
            </w:r>
          </w:p>
        </w:tc>
        <w:tc>
          <w:tcPr>
            <w:tcW w:w="907" w:type="dxa"/>
            <w:tcBorders>
              <w:top w:val="nil"/>
              <w:left w:val="nil"/>
              <w:bottom w:val="single" w:sz="4" w:space="0" w:color="auto"/>
              <w:right w:val="single" w:sz="4" w:space="0" w:color="auto"/>
            </w:tcBorders>
            <w:shd w:val="clear" w:color="auto" w:fill="auto"/>
            <w:noWrap/>
            <w:vAlign w:val="bottom"/>
            <w:hideMark/>
          </w:tcPr>
          <w:p w14:paraId="34B424BA"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-263 </w:t>
            </w:r>
          </w:p>
        </w:tc>
        <w:tc>
          <w:tcPr>
            <w:tcW w:w="990" w:type="dxa"/>
            <w:tcBorders>
              <w:top w:val="nil"/>
              <w:left w:val="nil"/>
              <w:bottom w:val="single" w:sz="4" w:space="0" w:color="auto"/>
              <w:right w:val="single" w:sz="4" w:space="0" w:color="auto"/>
            </w:tcBorders>
            <w:shd w:val="clear" w:color="auto" w:fill="auto"/>
            <w:noWrap/>
            <w:vAlign w:val="bottom"/>
            <w:hideMark/>
          </w:tcPr>
          <w:p w14:paraId="7DF1CD6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-10,4%</w:t>
            </w:r>
          </w:p>
        </w:tc>
      </w:tr>
      <w:tr w:rsidR="00394C7E" w:rsidRPr="006148E8" w14:paraId="40F2B7C8" w14:textId="77777777" w:rsidTr="001763DB">
        <w:trPr>
          <w:trHeight w:val="100"/>
        </w:trPr>
        <w:tc>
          <w:tcPr>
            <w:tcW w:w="5737" w:type="dxa"/>
            <w:tcBorders>
              <w:top w:val="nil"/>
              <w:left w:val="single" w:sz="4" w:space="0" w:color="auto"/>
              <w:bottom w:val="single" w:sz="4" w:space="0" w:color="auto"/>
              <w:right w:val="single" w:sz="4" w:space="0" w:color="auto"/>
            </w:tcBorders>
            <w:shd w:val="clear" w:color="auto" w:fill="auto"/>
            <w:vAlign w:val="bottom"/>
            <w:hideMark/>
          </w:tcPr>
          <w:p w14:paraId="0BAC5952"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Biancheria</w:t>
            </w:r>
          </w:p>
        </w:tc>
        <w:tc>
          <w:tcPr>
            <w:tcW w:w="938" w:type="dxa"/>
            <w:tcBorders>
              <w:top w:val="nil"/>
              <w:left w:val="nil"/>
              <w:bottom w:val="single" w:sz="4" w:space="0" w:color="auto"/>
              <w:right w:val="single" w:sz="4" w:space="0" w:color="auto"/>
            </w:tcBorders>
            <w:shd w:val="clear" w:color="auto" w:fill="auto"/>
            <w:noWrap/>
            <w:vAlign w:val="bottom"/>
            <w:hideMark/>
          </w:tcPr>
          <w:p w14:paraId="6DEB46A6"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-868 </w:t>
            </w:r>
          </w:p>
        </w:tc>
        <w:tc>
          <w:tcPr>
            <w:tcW w:w="1023" w:type="dxa"/>
            <w:tcBorders>
              <w:top w:val="nil"/>
              <w:left w:val="nil"/>
              <w:bottom w:val="single" w:sz="4" w:space="0" w:color="auto"/>
              <w:right w:val="single" w:sz="4" w:space="0" w:color="auto"/>
            </w:tcBorders>
            <w:shd w:val="clear" w:color="auto" w:fill="auto"/>
            <w:noWrap/>
            <w:vAlign w:val="bottom"/>
            <w:hideMark/>
          </w:tcPr>
          <w:p w14:paraId="7602406B"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-25,1%</w:t>
            </w:r>
          </w:p>
        </w:tc>
        <w:tc>
          <w:tcPr>
            <w:tcW w:w="907" w:type="dxa"/>
            <w:tcBorders>
              <w:top w:val="nil"/>
              <w:left w:val="nil"/>
              <w:bottom w:val="single" w:sz="4" w:space="0" w:color="auto"/>
              <w:right w:val="single" w:sz="4" w:space="0" w:color="auto"/>
            </w:tcBorders>
            <w:shd w:val="clear" w:color="auto" w:fill="auto"/>
            <w:noWrap/>
            <w:vAlign w:val="bottom"/>
            <w:hideMark/>
          </w:tcPr>
          <w:p w14:paraId="4F6E3B4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-409 </w:t>
            </w:r>
          </w:p>
        </w:tc>
        <w:tc>
          <w:tcPr>
            <w:tcW w:w="990" w:type="dxa"/>
            <w:tcBorders>
              <w:top w:val="nil"/>
              <w:left w:val="nil"/>
              <w:bottom w:val="single" w:sz="4" w:space="0" w:color="auto"/>
              <w:right w:val="single" w:sz="4" w:space="0" w:color="auto"/>
            </w:tcBorders>
            <w:shd w:val="clear" w:color="auto" w:fill="auto"/>
            <w:noWrap/>
            <w:vAlign w:val="bottom"/>
            <w:hideMark/>
          </w:tcPr>
          <w:p w14:paraId="52E54772"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-13,6%</w:t>
            </w:r>
          </w:p>
        </w:tc>
      </w:tr>
      <w:tr w:rsidR="00394C7E" w:rsidRPr="006148E8" w14:paraId="6CF44392" w14:textId="77777777" w:rsidTr="001763DB">
        <w:trPr>
          <w:trHeight w:val="236"/>
        </w:trPr>
        <w:tc>
          <w:tcPr>
            <w:tcW w:w="5737" w:type="dxa"/>
            <w:tcBorders>
              <w:top w:val="nil"/>
              <w:left w:val="single" w:sz="4" w:space="0" w:color="auto"/>
              <w:bottom w:val="single" w:sz="4" w:space="0" w:color="auto"/>
              <w:right w:val="single" w:sz="4" w:space="0" w:color="auto"/>
            </w:tcBorders>
            <w:shd w:val="clear" w:color="auto" w:fill="auto"/>
            <w:vAlign w:val="bottom"/>
            <w:hideMark/>
          </w:tcPr>
          <w:p w14:paraId="3A81458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Calzature e accessori</w:t>
            </w:r>
          </w:p>
        </w:tc>
        <w:tc>
          <w:tcPr>
            <w:tcW w:w="938" w:type="dxa"/>
            <w:tcBorders>
              <w:top w:val="nil"/>
              <w:left w:val="nil"/>
              <w:bottom w:val="single" w:sz="4" w:space="0" w:color="auto"/>
              <w:right w:val="single" w:sz="4" w:space="0" w:color="auto"/>
            </w:tcBorders>
            <w:shd w:val="clear" w:color="auto" w:fill="auto"/>
            <w:noWrap/>
            <w:vAlign w:val="bottom"/>
            <w:hideMark/>
          </w:tcPr>
          <w:p w14:paraId="0C56208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-1.111 </w:t>
            </w:r>
          </w:p>
        </w:tc>
        <w:tc>
          <w:tcPr>
            <w:tcW w:w="1023" w:type="dxa"/>
            <w:tcBorders>
              <w:top w:val="nil"/>
              <w:left w:val="nil"/>
              <w:bottom w:val="single" w:sz="4" w:space="0" w:color="auto"/>
              <w:right w:val="single" w:sz="4" w:space="0" w:color="auto"/>
            </w:tcBorders>
            <w:shd w:val="clear" w:color="auto" w:fill="auto"/>
            <w:noWrap/>
            <w:vAlign w:val="bottom"/>
            <w:hideMark/>
          </w:tcPr>
          <w:p w14:paraId="5F2A502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-25,0%</w:t>
            </w:r>
          </w:p>
        </w:tc>
        <w:tc>
          <w:tcPr>
            <w:tcW w:w="907" w:type="dxa"/>
            <w:tcBorders>
              <w:top w:val="nil"/>
              <w:left w:val="nil"/>
              <w:bottom w:val="single" w:sz="4" w:space="0" w:color="auto"/>
              <w:right w:val="single" w:sz="4" w:space="0" w:color="auto"/>
            </w:tcBorders>
            <w:shd w:val="clear" w:color="auto" w:fill="auto"/>
            <w:noWrap/>
            <w:vAlign w:val="bottom"/>
            <w:hideMark/>
          </w:tcPr>
          <w:p w14:paraId="7552C196"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-574 </w:t>
            </w:r>
          </w:p>
        </w:tc>
        <w:tc>
          <w:tcPr>
            <w:tcW w:w="990" w:type="dxa"/>
            <w:tcBorders>
              <w:top w:val="nil"/>
              <w:left w:val="nil"/>
              <w:bottom w:val="single" w:sz="4" w:space="0" w:color="auto"/>
              <w:right w:val="single" w:sz="4" w:space="0" w:color="auto"/>
            </w:tcBorders>
            <w:shd w:val="clear" w:color="auto" w:fill="auto"/>
            <w:noWrap/>
            <w:vAlign w:val="bottom"/>
            <w:hideMark/>
          </w:tcPr>
          <w:p w14:paraId="02D97F46"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-14,7%</w:t>
            </w:r>
          </w:p>
        </w:tc>
      </w:tr>
      <w:tr w:rsidR="00394C7E" w:rsidRPr="006148E8" w14:paraId="598C413C" w14:textId="77777777" w:rsidTr="001763DB">
        <w:trPr>
          <w:trHeight w:val="236"/>
        </w:trPr>
        <w:tc>
          <w:tcPr>
            <w:tcW w:w="5737" w:type="dxa"/>
            <w:tcBorders>
              <w:top w:val="nil"/>
              <w:left w:val="single" w:sz="4" w:space="0" w:color="auto"/>
              <w:bottom w:val="single" w:sz="4" w:space="0" w:color="auto"/>
              <w:right w:val="single" w:sz="4" w:space="0" w:color="auto"/>
            </w:tcBorders>
            <w:shd w:val="clear" w:color="auto" w:fill="auto"/>
            <w:vAlign w:val="bottom"/>
            <w:hideMark/>
          </w:tcPr>
          <w:p w14:paraId="71D1192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Bar</w:t>
            </w:r>
          </w:p>
        </w:tc>
        <w:tc>
          <w:tcPr>
            <w:tcW w:w="938" w:type="dxa"/>
            <w:tcBorders>
              <w:top w:val="nil"/>
              <w:left w:val="nil"/>
              <w:bottom w:val="single" w:sz="4" w:space="0" w:color="auto"/>
              <w:right w:val="single" w:sz="4" w:space="0" w:color="auto"/>
            </w:tcBorders>
            <w:shd w:val="clear" w:color="auto" w:fill="auto"/>
            <w:noWrap/>
            <w:vAlign w:val="bottom"/>
            <w:hideMark/>
          </w:tcPr>
          <w:p w14:paraId="7DBEA0CA"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-3.349 </w:t>
            </w:r>
          </w:p>
        </w:tc>
        <w:tc>
          <w:tcPr>
            <w:tcW w:w="1023" w:type="dxa"/>
            <w:tcBorders>
              <w:top w:val="nil"/>
              <w:left w:val="nil"/>
              <w:bottom w:val="single" w:sz="4" w:space="0" w:color="auto"/>
              <w:right w:val="single" w:sz="4" w:space="0" w:color="auto"/>
            </w:tcBorders>
            <w:shd w:val="clear" w:color="auto" w:fill="auto"/>
            <w:noWrap/>
            <w:vAlign w:val="bottom"/>
            <w:hideMark/>
          </w:tcPr>
          <w:p w14:paraId="152B6B6F"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-8,3%</w:t>
            </w:r>
          </w:p>
        </w:tc>
        <w:tc>
          <w:tcPr>
            <w:tcW w:w="907" w:type="dxa"/>
            <w:tcBorders>
              <w:top w:val="nil"/>
              <w:left w:val="nil"/>
              <w:bottom w:val="single" w:sz="4" w:space="0" w:color="auto"/>
              <w:right w:val="single" w:sz="4" w:space="0" w:color="auto"/>
            </w:tcBorders>
            <w:shd w:val="clear" w:color="auto" w:fill="auto"/>
            <w:noWrap/>
            <w:vAlign w:val="bottom"/>
            <w:hideMark/>
          </w:tcPr>
          <w:p w14:paraId="3DC53327"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-3.871 </w:t>
            </w:r>
          </w:p>
        </w:tc>
        <w:tc>
          <w:tcPr>
            <w:tcW w:w="990" w:type="dxa"/>
            <w:tcBorders>
              <w:top w:val="nil"/>
              <w:left w:val="nil"/>
              <w:bottom w:val="single" w:sz="4" w:space="0" w:color="auto"/>
              <w:right w:val="single" w:sz="4" w:space="0" w:color="auto"/>
            </w:tcBorders>
            <w:shd w:val="clear" w:color="auto" w:fill="auto"/>
            <w:noWrap/>
            <w:vAlign w:val="bottom"/>
            <w:hideMark/>
          </w:tcPr>
          <w:p w14:paraId="514830F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-9,5%</w:t>
            </w:r>
          </w:p>
        </w:tc>
      </w:tr>
      <w:tr w:rsidR="00394C7E" w:rsidRPr="006148E8" w14:paraId="45338200" w14:textId="77777777" w:rsidTr="001763DB">
        <w:trPr>
          <w:trHeight w:val="236"/>
        </w:trPr>
        <w:tc>
          <w:tcPr>
            <w:tcW w:w="5737" w:type="dxa"/>
            <w:tcBorders>
              <w:top w:val="nil"/>
              <w:left w:val="single" w:sz="4" w:space="0" w:color="auto"/>
              <w:bottom w:val="single" w:sz="4" w:space="0" w:color="auto"/>
              <w:right w:val="single" w:sz="4" w:space="0" w:color="auto"/>
            </w:tcBorders>
            <w:shd w:val="clear" w:color="auto" w:fill="auto"/>
            <w:vAlign w:val="bottom"/>
            <w:hideMark/>
          </w:tcPr>
          <w:p w14:paraId="74AF872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Saloni di barbiere e parrucchiere</w:t>
            </w:r>
          </w:p>
        </w:tc>
        <w:tc>
          <w:tcPr>
            <w:tcW w:w="938" w:type="dxa"/>
            <w:tcBorders>
              <w:top w:val="nil"/>
              <w:left w:val="nil"/>
              <w:bottom w:val="single" w:sz="4" w:space="0" w:color="auto"/>
              <w:right w:val="single" w:sz="4" w:space="0" w:color="auto"/>
            </w:tcBorders>
            <w:shd w:val="clear" w:color="auto" w:fill="auto"/>
            <w:noWrap/>
            <w:vAlign w:val="bottom"/>
            <w:hideMark/>
          </w:tcPr>
          <w:p w14:paraId="0CE062F2"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861 </w:t>
            </w:r>
          </w:p>
        </w:tc>
        <w:tc>
          <w:tcPr>
            <w:tcW w:w="1023" w:type="dxa"/>
            <w:tcBorders>
              <w:top w:val="nil"/>
              <w:left w:val="nil"/>
              <w:bottom w:val="single" w:sz="4" w:space="0" w:color="auto"/>
              <w:right w:val="single" w:sz="4" w:space="0" w:color="auto"/>
            </w:tcBorders>
            <w:shd w:val="clear" w:color="auto" w:fill="auto"/>
            <w:noWrap/>
            <w:vAlign w:val="bottom"/>
            <w:hideMark/>
          </w:tcPr>
          <w:p w14:paraId="1740A2E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3,2%</w:t>
            </w:r>
          </w:p>
        </w:tc>
        <w:tc>
          <w:tcPr>
            <w:tcW w:w="907" w:type="dxa"/>
            <w:tcBorders>
              <w:top w:val="nil"/>
              <w:left w:val="nil"/>
              <w:bottom w:val="single" w:sz="4" w:space="0" w:color="auto"/>
              <w:right w:val="single" w:sz="4" w:space="0" w:color="auto"/>
            </w:tcBorders>
            <w:shd w:val="clear" w:color="auto" w:fill="auto"/>
            <w:noWrap/>
            <w:vAlign w:val="bottom"/>
            <w:hideMark/>
          </w:tcPr>
          <w:p w14:paraId="25B71CB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 xml:space="preserve">-30 </w:t>
            </w:r>
          </w:p>
        </w:tc>
        <w:tc>
          <w:tcPr>
            <w:tcW w:w="990" w:type="dxa"/>
            <w:tcBorders>
              <w:top w:val="nil"/>
              <w:left w:val="nil"/>
              <w:bottom w:val="single" w:sz="4" w:space="0" w:color="auto"/>
              <w:right w:val="single" w:sz="4" w:space="0" w:color="auto"/>
            </w:tcBorders>
            <w:shd w:val="clear" w:color="auto" w:fill="auto"/>
            <w:noWrap/>
            <w:vAlign w:val="bottom"/>
            <w:hideMark/>
          </w:tcPr>
          <w:p w14:paraId="7CD652C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-0,1%</w:t>
            </w:r>
          </w:p>
        </w:tc>
      </w:tr>
      <w:tr w:rsidR="00394C7E" w:rsidRPr="006148E8" w14:paraId="342D99C1" w14:textId="77777777" w:rsidTr="001763DB">
        <w:trPr>
          <w:trHeight w:val="236"/>
        </w:trPr>
        <w:tc>
          <w:tcPr>
            <w:tcW w:w="5737" w:type="dxa"/>
            <w:tcBorders>
              <w:top w:val="nil"/>
              <w:left w:val="single" w:sz="4" w:space="0" w:color="auto"/>
              <w:bottom w:val="single" w:sz="4" w:space="0" w:color="auto"/>
              <w:right w:val="single" w:sz="4" w:space="0" w:color="auto"/>
            </w:tcBorders>
            <w:shd w:val="clear" w:color="auto" w:fill="auto"/>
            <w:noWrap/>
            <w:vAlign w:val="bottom"/>
            <w:hideMark/>
          </w:tcPr>
          <w:p w14:paraId="640F19AE" w14:textId="77777777" w:rsidR="0086262D" w:rsidRPr="006148E8" w:rsidRDefault="0086262D" w:rsidP="006148E8">
            <w:pPr>
              <w:jc w:val="both"/>
              <w:rPr>
                <w:rFonts w:eastAsia="Times New Roman" w:cstheme="majorHAnsi"/>
                <w:b/>
                <w:bCs/>
                <w:color w:val="000000" w:themeColor="text1"/>
                <w:lang w:eastAsia="it-IT"/>
              </w:rPr>
            </w:pPr>
            <w:r w:rsidRPr="006148E8">
              <w:rPr>
                <w:rFonts w:eastAsia="Times New Roman" w:cstheme="majorHAnsi"/>
                <w:b/>
                <w:bCs/>
                <w:color w:val="000000" w:themeColor="text1"/>
                <w:lang w:eastAsia="it-IT"/>
              </w:rPr>
              <w:t>Totale</w:t>
            </w:r>
          </w:p>
        </w:tc>
        <w:tc>
          <w:tcPr>
            <w:tcW w:w="938" w:type="dxa"/>
            <w:tcBorders>
              <w:top w:val="nil"/>
              <w:left w:val="nil"/>
              <w:bottom w:val="single" w:sz="4" w:space="0" w:color="auto"/>
              <w:right w:val="single" w:sz="4" w:space="0" w:color="auto"/>
            </w:tcBorders>
            <w:shd w:val="clear" w:color="auto" w:fill="auto"/>
            <w:noWrap/>
            <w:vAlign w:val="bottom"/>
            <w:hideMark/>
          </w:tcPr>
          <w:p w14:paraId="325926B1" w14:textId="77777777" w:rsidR="0086262D" w:rsidRPr="006148E8" w:rsidRDefault="0086262D" w:rsidP="006148E8">
            <w:pPr>
              <w:jc w:val="both"/>
              <w:rPr>
                <w:rFonts w:eastAsia="Times New Roman" w:cstheme="majorHAnsi"/>
                <w:b/>
                <w:bCs/>
                <w:color w:val="000000" w:themeColor="text1"/>
                <w:lang w:eastAsia="it-IT"/>
              </w:rPr>
            </w:pPr>
            <w:r w:rsidRPr="006148E8">
              <w:rPr>
                <w:rFonts w:eastAsia="Times New Roman" w:cstheme="majorHAnsi"/>
                <w:b/>
                <w:bCs/>
                <w:color w:val="000000" w:themeColor="text1"/>
                <w:lang w:eastAsia="it-IT"/>
              </w:rPr>
              <w:t xml:space="preserve">-9.068 </w:t>
            </w:r>
          </w:p>
        </w:tc>
        <w:tc>
          <w:tcPr>
            <w:tcW w:w="1023" w:type="dxa"/>
            <w:tcBorders>
              <w:top w:val="nil"/>
              <w:left w:val="nil"/>
              <w:bottom w:val="single" w:sz="4" w:space="0" w:color="auto"/>
              <w:right w:val="single" w:sz="4" w:space="0" w:color="auto"/>
            </w:tcBorders>
            <w:shd w:val="clear" w:color="auto" w:fill="auto"/>
            <w:noWrap/>
            <w:vAlign w:val="bottom"/>
            <w:hideMark/>
          </w:tcPr>
          <w:p w14:paraId="212E1F28" w14:textId="77777777" w:rsidR="0086262D" w:rsidRPr="006148E8" w:rsidRDefault="0086262D" w:rsidP="006148E8">
            <w:pPr>
              <w:jc w:val="both"/>
              <w:rPr>
                <w:rFonts w:eastAsia="Times New Roman" w:cstheme="majorHAnsi"/>
                <w:b/>
                <w:bCs/>
                <w:color w:val="000000" w:themeColor="text1"/>
                <w:lang w:eastAsia="it-IT"/>
              </w:rPr>
            </w:pPr>
            <w:r w:rsidRPr="006148E8">
              <w:rPr>
                <w:rFonts w:eastAsia="Times New Roman" w:cstheme="majorHAnsi"/>
                <w:b/>
                <w:bCs/>
                <w:color w:val="000000" w:themeColor="text1"/>
                <w:lang w:eastAsia="it-IT"/>
              </w:rPr>
              <w:t>-6,1%</w:t>
            </w:r>
          </w:p>
        </w:tc>
        <w:tc>
          <w:tcPr>
            <w:tcW w:w="907" w:type="dxa"/>
            <w:tcBorders>
              <w:top w:val="nil"/>
              <w:left w:val="nil"/>
              <w:bottom w:val="single" w:sz="4" w:space="0" w:color="auto"/>
              <w:right w:val="single" w:sz="4" w:space="0" w:color="auto"/>
            </w:tcBorders>
            <w:shd w:val="clear" w:color="auto" w:fill="auto"/>
            <w:noWrap/>
            <w:vAlign w:val="bottom"/>
            <w:hideMark/>
          </w:tcPr>
          <w:p w14:paraId="016E069F" w14:textId="77777777" w:rsidR="0086262D" w:rsidRPr="006148E8" w:rsidRDefault="0086262D" w:rsidP="006148E8">
            <w:pPr>
              <w:jc w:val="both"/>
              <w:rPr>
                <w:rFonts w:eastAsia="Times New Roman" w:cstheme="majorHAnsi"/>
                <w:b/>
                <w:bCs/>
                <w:color w:val="000000" w:themeColor="text1"/>
                <w:lang w:eastAsia="it-IT"/>
              </w:rPr>
            </w:pPr>
            <w:r w:rsidRPr="006148E8">
              <w:rPr>
                <w:rFonts w:eastAsia="Times New Roman" w:cstheme="majorHAnsi"/>
                <w:b/>
                <w:bCs/>
                <w:color w:val="000000" w:themeColor="text1"/>
                <w:lang w:eastAsia="it-IT"/>
              </w:rPr>
              <w:t xml:space="preserve">-8.808 </w:t>
            </w:r>
          </w:p>
        </w:tc>
        <w:tc>
          <w:tcPr>
            <w:tcW w:w="990" w:type="dxa"/>
            <w:tcBorders>
              <w:top w:val="nil"/>
              <w:left w:val="nil"/>
              <w:bottom w:val="single" w:sz="4" w:space="0" w:color="auto"/>
              <w:right w:val="single" w:sz="4" w:space="0" w:color="auto"/>
            </w:tcBorders>
            <w:shd w:val="clear" w:color="auto" w:fill="auto"/>
            <w:noWrap/>
            <w:vAlign w:val="bottom"/>
            <w:hideMark/>
          </w:tcPr>
          <w:p w14:paraId="7500A101" w14:textId="77777777" w:rsidR="0086262D" w:rsidRPr="006148E8" w:rsidRDefault="0086262D" w:rsidP="006148E8">
            <w:pPr>
              <w:jc w:val="both"/>
              <w:rPr>
                <w:rFonts w:eastAsia="Times New Roman" w:cstheme="majorHAnsi"/>
                <w:b/>
                <w:bCs/>
                <w:color w:val="000000" w:themeColor="text1"/>
                <w:lang w:eastAsia="it-IT"/>
              </w:rPr>
            </w:pPr>
            <w:r w:rsidRPr="006148E8">
              <w:rPr>
                <w:rFonts w:eastAsia="Times New Roman" w:cstheme="majorHAnsi"/>
                <w:b/>
                <w:bCs/>
                <w:color w:val="000000" w:themeColor="text1"/>
                <w:lang w:eastAsia="it-IT"/>
              </w:rPr>
              <w:t>-5,9%</w:t>
            </w:r>
          </w:p>
        </w:tc>
      </w:tr>
    </w:tbl>
    <w:p w14:paraId="54703FD4" w14:textId="77777777" w:rsidR="0086262D" w:rsidRPr="006148E8" w:rsidRDefault="0086262D" w:rsidP="006148E8">
      <w:pPr>
        <w:spacing w:after="120" w:line="276" w:lineRule="auto"/>
        <w:jc w:val="both"/>
        <w:rPr>
          <w:rFonts w:cstheme="majorHAnsi"/>
          <w:color w:val="000000" w:themeColor="text1"/>
        </w:rPr>
      </w:pPr>
    </w:p>
    <w:p w14:paraId="103B3863" w14:textId="612D5F1F" w:rsidR="00DE7EA3" w:rsidRPr="006148E8" w:rsidRDefault="0086262D" w:rsidP="006148E8">
      <w:pPr>
        <w:spacing w:after="120" w:line="276" w:lineRule="auto"/>
        <w:jc w:val="both"/>
        <w:rPr>
          <w:rFonts w:cstheme="majorHAnsi"/>
          <w:color w:val="000000" w:themeColor="text1"/>
        </w:rPr>
      </w:pPr>
      <w:r w:rsidRPr="006148E8">
        <w:rPr>
          <w:rFonts w:cstheme="majorHAnsi"/>
          <w:b/>
          <w:bCs/>
          <w:color w:val="000000" w:themeColor="text1"/>
        </w:rPr>
        <w:t>I comuni medio-grandi</w:t>
      </w:r>
      <w:r w:rsidRPr="006148E8">
        <w:rPr>
          <w:rFonts w:cstheme="majorHAnsi"/>
          <w:color w:val="000000" w:themeColor="text1"/>
        </w:rPr>
        <w:t xml:space="preserve">. La desertificazione si fa sentire di più nei comuni tra i 50mila ed i 250mila abitanti. In queste località, le imprese dell’insieme preso in analisi sono 111.886, con un calo di -7.601 rispetto al 2014. Una flessione del -6,4%, peggiore di quella dei comuni medio-piccoli. </w:t>
      </w:r>
      <w:r w:rsidR="00DE7EA3" w:rsidRPr="006148E8">
        <w:rPr>
          <w:rFonts w:cstheme="majorHAnsi"/>
          <w:color w:val="000000" w:themeColor="text1"/>
        </w:rPr>
        <w:t xml:space="preserve"> </w:t>
      </w:r>
    </w:p>
    <w:p w14:paraId="734FD44E" w14:textId="3DC55130" w:rsidR="0086262D" w:rsidRPr="006148E8" w:rsidRDefault="00DE7EA3" w:rsidP="006148E8">
      <w:pPr>
        <w:spacing w:after="120" w:line="276" w:lineRule="auto"/>
        <w:jc w:val="both"/>
        <w:rPr>
          <w:rFonts w:cstheme="majorHAnsi"/>
          <w:color w:val="000000" w:themeColor="text1"/>
        </w:rPr>
      </w:pPr>
      <w:r w:rsidRPr="006148E8">
        <w:rPr>
          <w:rFonts w:cstheme="majorHAnsi"/>
          <w:b/>
          <w:bCs/>
          <w:color w:val="000000" w:themeColor="text1"/>
        </w:rPr>
        <w:t xml:space="preserve">Comuni medio-grandi: il calo per tipologia di impresa. </w:t>
      </w:r>
      <w:r w:rsidR="0086262D" w:rsidRPr="006148E8">
        <w:rPr>
          <w:rFonts w:cstheme="majorHAnsi"/>
          <w:color w:val="000000" w:themeColor="text1"/>
        </w:rPr>
        <w:t xml:space="preserve">Quasi tutte le tipologie di attività segnano una riduzione del numero di imprese registrate rispetto al 2014: edicole (-1608), minimercati (-1.008), macellerie (-828), distributori carburanti (-832) negozi di elettrodomestici ed elettronica (-626), ferramenta (-765), panetterie (-237), librerie (-101) con confronti in negativo anche per pescherie (-96) forni (-20) e negozi di bevande (-22). Uniche eccezioni </w:t>
      </w:r>
      <w:proofErr w:type="gramStart"/>
      <w:r w:rsidR="0086262D" w:rsidRPr="006148E8">
        <w:rPr>
          <w:rFonts w:cstheme="majorHAnsi"/>
          <w:color w:val="000000" w:themeColor="text1"/>
        </w:rPr>
        <w:t>al trend negativo</w:t>
      </w:r>
      <w:proofErr w:type="gramEnd"/>
      <w:r w:rsidR="0086262D" w:rsidRPr="006148E8">
        <w:rPr>
          <w:rFonts w:cstheme="majorHAnsi"/>
          <w:color w:val="000000" w:themeColor="text1"/>
        </w:rPr>
        <w:t xml:space="preserve"> i rivenditori di generi di monopolio (+109), gli empori (+91) e i saloni di barbiere/parrucchiere (+591). Positivo anche il saldo del comparto moda: dal 2014 le imprese aumentano di 367 unità, sintesi di un</w:t>
      </w:r>
      <w:r w:rsidR="001B59A1" w:rsidRPr="006148E8">
        <w:rPr>
          <w:rFonts w:cstheme="majorHAnsi"/>
          <w:color w:val="000000" w:themeColor="text1"/>
        </w:rPr>
        <w:t xml:space="preserve">a crescita </w:t>
      </w:r>
      <w:r w:rsidR="0086262D" w:rsidRPr="006148E8">
        <w:rPr>
          <w:rFonts w:cstheme="majorHAnsi"/>
          <w:color w:val="000000" w:themeColor="text1"/>
        </w:rPr>
        <w:t>delle confezioni per adulti (+</w:t>
      </w:r>
      <w:r w:rsidR="001B59A1" w:rsidRPr="006148E8">
        <w:rPr>
          <w:rFonts w:cstheme="majorHAnsi"/>
          <w:color w:val="000000" w:themeColor="text1"/>
        </w:rPr>
        <w:t>1.851</w:t>
      </w:r>
      <w:r w:rsidR="0086262D" w:rsidRPr="006148E8">
        <w:rPr>
          <w:rFonts w:cstheme="majorHAnsi"/>
          <w:color w:val="000000" w:themeColor="text1"/>
        </w:rPr>
        <w:t>) e della flessione di confezioni per bambini (-123), biancheria (-435) e in particolare di calzature (-926).</w:t>
      </w:r>
    </w:p>
    <w:p w14:paraId="1EC24E68" w14:textId="77777777" w:rsidR="00E171AA" w:rsidRPr="006148E8" w:rsidRDefault="00E171AA" w:rsidP="006148E8">
      <w:pPr>
        <w:spacing w:after="120" w:line="276" w:lineRule="auto"/>
        <w:jc w:val="both"/>
        <w:rPr>
          <w:rFonts w:cstheme="majorHAnsi"/>
          <w:color w:val="000000" w:themeColor="text1"/>
        </w:rPr>
      </w:pPr>
    </w:p>
    <w:tbl>
      <w:tblPr>
        <w:tblW w:w="9660" w:type="dxa"/>
        <w:tblCellMar>
          <w:left w:w="70" w:type="dxa"/>
          <w:right w:w="70" w:type="dxa"/>
        </w:tblCellMar>
        <w:tblLook w:val="04A0" w:firstRow="1" w:lastRow="0" w:firstColumn="1" w:lastColumn="0" w:noHBand="0" w:noVBand="1"/>
      </w:tblPr>
      <w:tblGrid>
        <w:gridCol w:w="5376"/>
        <w:gridCol w:w="878"/>
        <w:gridCol w:w="961"/>
        <w:gridCol w:w="1168"/>
        <w:gridCol w:w="1277"/>
      </w:tblGrid>
      <w:tr w:rsidR="00394C7E" w:rsidRPr="006148E8" w14:paraId="5D6ACDDD" w14:textId="77777777" w:rsidTr="00394C7E">
        <w:trPr>
          <w:trHeight w:val="218"/>
        </w:trPr>
        <w:tc>
          <w:tcPr>
            <w:tcW w:w="5376" w:type="dxa"/>
            <w:tcBorders>
              <w:top w:val="single" w:sz="8" w:space="0" w:color="auto"/>
              <w:left w:val="single" w:sz="8" w:space="0" w:color="auto"/>
              <w:bottom w:val="single" w:sz="8" w:space="0" w:color="auto"/>
              <w:right w:val="single" w:sz="8" w:space="0" w:color="auto"/>
            </w:tcBorders>
            <w:shd w:val="clear" w:color="auto" w:fill="83E390"/>
            <w:noWrap/>
            <w:vAlign w:val="center"/>
            <w:hideMark/>
          </w:tcPr>
          <w:p w14:paraId="00A0390B" w14:textId="77777777" w:rsidR="0086262D" w:rsidRPr="006148E8" w:rsidRDefault="0086262D" w:rsidP="006148E8">
            <w:pPr>
              <w:jc w:val="both"/>
              <w:rPr>
                <w:rFonts w:eastAsia="Times New Roman" w:cstheme="majorHAnsi"/>
                <w:b/>
                <w:bCs/>
                <w:color w:val="000000" w:themeColor="text1"/>
                <w:lang w:eastAsia="it-IT"/>
              </w:rPr>
            </w:pPr>
            <w:r w:rsidRPr="006148E8">
              <w:rPr>
                <w:rFonts w:eastAsia="Times New Roman" w:cstheme="majorHAnsi"/>
                <w:b/>
                <w:bCs/>
                <w:color w:val="000000" w:themeColor="text1"/>
                <w:lang w:eastAsia="it-IT"/>
              </w:rPr>
              <w:t> Comuni da 50 mila a 250 mila abitanti</w:t>
            </w:r>
          </w:p>
        </w:tc>
        <w:tc>
          <w:tcPr>
            <w:tcW w:w="1839" w:type="dxa"/>
            <w:gridSpan w:val="2"/>
            <w:tcBorders>
              <w:top w:val="single" w:sz="8" w:space="0" w:color="auto"/>
              <w:left w:val="nil"/>
              <w:bottom w:val="single" w:sz="8" w:space="0" w:color="auto"/>
              <w:right w:val="single" w:sz="8" w:space="0" w:color="000000"/>
            </w:tcBorders>
            <w:shd w:val="clear" w:color="auto" w:fill="83E390"/>
            <w:noWrap/>
            <w:vAlign w:val="center"/>
            <w:hideMark/>
          </w:tcPr>
          <w:p w14:paraId="1DB91033"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2024/2014</w:t>
            </w:r>
          </w:p>
        </w:tc>
        <w:tc>
          <w:tcPr>
            <w:tcW w:w="2445" w:type="dxa"/>
            <w:gridSpan w:val="2"/>
            <w:tcBorders>
              <w:top w:val="single" w:sz="8" w:space="0" w:color="auto"/>
              <w:left w:val="nil"/>
              <w:bottom w:val="single" w:sz="8" w:space="0" w:color="auto"/>
              <w:right w:val="single" w:sz="8" w:space="0" w:color="000000"/>
            </w:tcBorders>
            <w:shd w:val="clear" w:color="auto" w:fill="83E390"/>
            <w:noWrap/>
            <w:vAlign w:val="center"/>
            <w:hideMark/>
          </w:tcPr>
          <w:p w14:paraId="5FAF26A7"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2024/2019</w:t>
            </w:r>
          </w:p>
        </w:tc>
      </w:tr>
      <w:tr w:rsidR="00394C7E" w:rsidRPr="006148E8" w14:paraId="02775EEE" w14:textId="77777777" w:rsidTr="001763DB">
        <w:trPr>
          <w:trHeight w:val="218"/>
        </w:trPr>
        <w:tc>
          <w:tcPr>
            <w:tcW w:w="5376" w:type="dxa"/>
            <w:tcBorders>
              <w:top w:val="nil"/>
              <w:left w:val="single" w:sz="8" w:space="0" w:color="auto"/>
              <w:bottom w:val="single" w:sz="8" w:space="0" w:color="auto"/>
              <w:right w:val="single" w:sz="8" w:space="0" w:color="auto"/>
            </w:tcBorders>
            <w:shd w:val="clear" w:color="auto" w:fill="auto"/>
            <w:vAlign w:val="bottom"/>
            <w:hideMark/>
          </w:tcPr>
          <w:p w14:paraId="65687CD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Forni</w:t>
            </w:r>
          </w:p>
        </w:tc>
        <w:tc>
          <w:tcPr>
            <w:tcW w:w="878" w:type="dxa"/>
            <w:tcBorders>
              <w:top w:val="nil"/>
              <w:left w:val="nil"/>
              <w:bottom w:val="single" w:sz="8" w:space="0" w:color="auto"/>
              <w:right w:val="single" w:sz="8" w:space="0" w:color="auto"/>
            </w:tcBorders>
            <w:shd w:val="clear" w:color="auto" w:fill="auto"/>
            <w:noWrap/>
            <w:vAlign w:val="center"/>
            <w:hideMark/>
          </w:tcPr>
          <w:p w14:paraId="7489161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-20</w:t>
            </w:r>
          </w:p>
        </w:tc>
        <w:tc>
          <w:tcPr>
            <w:tcW w:w="961" w:type="dxa"/>
            <w:tcBorders>
              <w:top w:val="nil"/>
              <w:left w:val="nil"/>
              <w:bottom w:val="single" w:sz="8" w:space="0" w:color="auto"/>
              <w:right w:val="single" w:sz="8" w:space="0" w:color="auto"/>
            </w:tcBorders>
            <w:shd w:val="clear" w:color="auto" w:fill="auto"/>
            <w:noWrap/>
            <w:vAlign w:val="center"/>
            <w:hideMark/>
          </w:tcPr>
          <w:p w14:paraId="4A2285F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-0,4%</w:t>
            </w:r>
          </w:p>
        </w:tc>
        <w:tc>
          <w:tcPr>
            <w:tcW w:w="1168" w:type="dxa"/>
            <w:tcBorders>
              <w:top w:val="nil"/>
              <w:left w:val="nil"/>
              <w:bottom w:val="single" w:sz="8" w:space="0" w:color="auto"/>
              <w:right w:val="single" w:sz="8" w:space="0" w:color="auto"/>
            </w:tcBorders>
            <w:shd w:val="clear" w:color="auto" w:fill="auto"/>
            <w:noWrap/>
            <w:vAlign w:val="center"/>
            <w:hideMark/>
          </w:tcPr>
          <w:p w14:paraId="297950EF"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-189</w:t>
            </w:r>
          </w:p>
        </w:tc>
        <w:tc>
          <w:tcPr>
            <w:tcW w:w="1277" w:type="dxa"/>
            <w:tcBorders>
              <w:top w:val="nil"/>
              <w:left w:val="nil"/>
              <w:bottom w:val="single" w:sz="8" w:space="0" w:color="auto"/>
              <w:right w:val="single" w:sz="8" w:space="0" w:color="auto"/>
            </w:tcBorders>
            <w:shd w:val="clear" w:color="auto" w:fill="auto"/>
            <w:noWrap/>
            <w:vAlign w:val="center"/>
            <w:hideMark/>
          </w:tcPr>
          <w:p w14:paraId="2E22A742"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-4,0%</w:t>
            </w:r>
          </w:p>
        </w:tc>
      </w:tr>
      <w:tr w:rsidR="00394C7E" w:rsidRPr="006148E8" w14:paraId="6D0C2E84" w14:textId="77777777" w:rsidTr="001763DB">
        <w:trPr>
          <w:trHeight w:val="124"/>
        </w:trPr>
        <w:tc>
          <w:tcPr>
            <w:tcW w:w="5376" w:type="dxa"/>
            <w:tcBorders>
              <w:top w:val="nil"/>
              <w:left w:val="single" w:sz="8" w:space="0" w:color="auto"/>
              <w:bottom w:val="single" w:sz="8" w:space="0" w:color="auto"/>
              <w:right w:val="single" w:sz="8" w:space="0" w:color="auto"/>
            </w:tcBorders>
            <w:shd w:val="clear" w:color="auto" w:fill="auto"/>
            <w:vAlign w:val="bottom"/>
            <w:hideMark/>
          </w:tcPr>
          <w:p w14:paraId="38817CAB" w14:textId="77777777" w:rsidR="0086262D" w:rsidRPr="006148E8" w:rsidRDefault="0086262D" w:rsidP="006148E8">
            <w:pPr>
              <w:jc w:val="both"/>
              <w:rPr>
                <w:rFonts w:eastAsia="Times New Roman" w:cstheme="majorHAnsi"/>
                <w:color w:val="000000" w:themeColor="text1"/>
                <w:lang w:eastAsia="it-IT"/>
              </w:rPr>
            </w:pPr>
            <w:r w:rsidRPr="006148E8">
              <w:rPr>
                <w:rFonts w:cstheme="majorHAnsi"/>
                <w:color w:val="000000" w:themeColor="text1"/>
              </w:rPr>
              <w:t>Minimercati</w:t>
            </w:r>
          </w:p>
        </w:tc>
        <w:tc>
          <w:tcPr>
            <w:tcW w:w="878" w:type="dxa"/>
            <w:tcBorders>
              <w:top w:val="nil"/>
              <w:left w:val="nil"/>
              <w:bottom w:val="single" w:sz="8" w:space="0" w:color="auto"/>
              <w:right w:val="single" w:sz="8" w:space="0" w:color="auto"/>
            </w:tcBorders>
            <w:shd w:val="clear" w:color="auto" w:fill="auto"/>
            <w:noWrap/>
            <w:vAlign w:val="center"/>
            <w:hideMark/>
          </w:tcPr>
          <w:p w14:paraId="5A988C6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-1.008</w:t>
            </w:r>
          </w:p>
        </w:tc>
        <w:tc>
          <w:tcPr>
            <w:tcW w:w="961" w:type="dxa"/>
            <w:tcBorders>
              <w:top w:val="nil"/>
              <w:left w:val="nil"/>
              <w:bottom w:val="single" w:sz="8" w:space="0" w:color="auto"/>
              <w:right w:val="single" w:sz="8" w:space="0" w:color="auto"/>
            </w:tcBorders>
            <w:shd w:val="clear" w:color="auto" w:fill="auto"/>
            <w:noWrap/>
            <w:vAlign w:val="center"/>
            <w:hideMark/>
          </w:tcPr>
          <w:p w14:paraId="294F4BE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-10,6%</w:t>
            </w:r>
          </w:p>
        </w:tc>
        <w:tc>
          <w:tcPr>
            <w:tcW w:w="1168" w:type="dxa"/>
            <w:tcBorders>
              <w:top w:val="nil"/>
              <w:left w:val="nil"/>
              <w:bottom w:val="single" w:sz="8" w:space="0" w:color="auto"/>
              <w:right w:val="single" w:sz="8" w:space="0" w:color="auto"/>
            </w:tcBorders>
            <w:shd w:val="clear" w:color="auto" w:fill="auto"/>
            <w:noWrap/>
            <w:vAlign w:val="center"/>
            <w:hideMark/>
          </w:tcPr>
          <w:p w14:paraId="622063EA"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-524</w:t>
            </w:r>
          </w:p>
        </w:tc>
        <w:tc>
          <w:tcPr>
            <w:tcW w:w="1277" w:type="dxa"/>
            <w:tcBorders>
              <w:top w:val="nil"/>
              <w:left w:val="nil"/>
              <w:bottom w:val="single" w:sz="8" w:space="0" w:color="auto"/>
              <w:right w:val="single" w:sz="8" w:space="0" w:color="auto"/>
            </w:tcBorders>
            <w:shd w:val="clear" w:color="auto" w:fill="auto"/>
            <w:noWrap/>
            <w:vAlign w:val="center"/>
            <w:hideMark/>
          </w:tcPr>
          <w:p w14:paraId="0FA5F74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-5,8%</w:t>
            </w:r>
          </w:p>
        </w:tc>
      </w:tr>
      <w:tr w:rsidR="00394C7E" w:rsidRPr="006148E8" w14:paraId="62E1B295" w14:textId="77777777" w:rsidTr="001763DB">
        <w:trPr>
          <w:trHeight w:val="90"/>
        </w:trPr>
        <w:tc>
          <w:tcPr>
            <w:tcW w:w="5376" w:type="dxa"/>
            <w:tcBorders>
              <w:top w:val="nil"/>
              <w:left w:val="single" w:sz="8" w:space="0" w:color="auto"/>
              <w:bottom w:val="single" w:sz="8" w:space="0" w:color="auto"/>
              <w:right w:val="single" w:sz="8" w:space="0" w:color="auto"/>
            </w:tcBorders>
            <w:shd w:val="clear" w:color="auto" w:fill="auto"/>
            <w:hideMark/>
          </w:tcPr>
          <w:p w14:paraId="076161F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Elettrodomestici</w:t>
            </w:r>
          </w:p>
        </w:tc>
        <w:tc>
          <w:tcPr>
            <w:tcW w:w="878" w:type="dxa"/>
            <w:tcBorders>
              <w:top w:val="nil"/>
              <w:left w:val="nil"/>
              <w:bottom w:val="single" w:sz="8" w:space="0" w:color="auto"/>
              <w:right w:val="single" w:sz="8" w:space="0" w:color="auto"/>
            </w:tcBorders>
            <w:shd w:val="clear" w:color="auto" w:fill="auto"/>
            <w:noWrap/>
            <w:vAlign w:val="center"/>
            <w:hideMark/>
          </w:tcPr>
          <w:p w14:paraId="3DF8C6E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-626</w:t>
            </w:r>
          </w:p>
        </w:tc>
        <w:tc>
          <w:tcPr>
            <w:tcW w:w="961" w:type="dxa"/>
            <w:tcBorders>
              <w:top w:val="nil"/>
              <w:left w:val="nil"/>
              <w:bottom w:val="single" w:sz="8" w:space="0" w:color="auto"/>
              <w:right w:val="single" w:sz="8" w:space="0" w:color="auto"/>
            </w:tcBorders>
            <w:shd w:val="clear" w:color="auto" w:fill="auto"/>
            <w:noWrap/>
            <w:vAlign w:val="center"/>
            <w:hideMark/>
          </w:tcPr>
          <w:p w14:paraId="0BF37B4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-30,4%</w:t>
            </w:r>
          </w:p>
        </w:tc>
        <w:tc>
          <w:tcPr>
            <w:tcW w:w="1168" w:type="dxa"/>
            <w:tcBorders>
              <w:top w:val="nil"/>
              <w:left w:val="nil"/>
              <w:bottom w:val="single" w:sz="8" w:space="0" w:color="auto"/>
              <w:right w:val="single" w:sz="8" w:space="0" w:color="auto"/>
            </w:tcBorders>
            <w:shd w:val="clear" w:color="auto" w:fill="auto"/>
            <w:noWrap/>
            <w:vAlign w:val="center"/>
            <w:hideMark/>
          </w:tcPr>
          <w:p w14:paraId="16CC900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-350</w:t>
            </w:r>
          </w:p>
        </w:tc>
        <w:tc>
          <w:tcPr>
            <w:tcW w:w="1277" w:type="dxa"/>
            <w:tcBorders>
              <w:top w:val="nil"/>
              <w:left w:val="nil"/>
              <w:bottom w:val="single" w:sz="8" w:space="0" w:color="auto"/>
              <w:right w:val="single" w:sz="8" w:space="0" w:color="auto"/>
            </w:tcBorders>
            <w:shd w:val="clear" w:color="auto" w:fill="auto"/>
            <w:noWrap/>
            <w:vAlign w:val="center"/>
            <w:hideMark/>
          </w:tcPr>
          <w:p w14:paraId="40BE62D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-19,6%</w:t>
            </w:r>
          </w:p>
        </w:tc>
      </w:tr>
      <w:tr w:rsidR="00394C7E" w:rsidRPr="006148E8" w14:paraId="1EA270D9" w14:textId="77777777" w:rsidTr="001763DB">
        <w:trPr>
          <w:trHeight w:val="90"/>
        </w:trPr>
        <w:tc>
          <w:tcPr>
            <w:tcW w:w="5376" w:type="dxa"/>
            <w:tcBorders>
              <w:top w:val="nil"/>
              <w:left w:val="single" w:sz="8" w:space="0" w:color="auto"/>
              <w:bottom w:val="single" w:sz="8" w:space="0" w:color="auto"/>
              <w:right w:val="single" w:sz="8" w:space="0" w:color="auto"/>
            </w:tcBorders>
            <w:shd w:val="clear" w:color="auto" w:fill="auto"/>
            <w:vAlign w:val="bottom"/>
            <w:hideMark/>
          </w:tcPr>
          <w:p w14:paraId="078CE2FC" w14:textId="77777777" w:rsidR="0086262D" w:rsidRPr="006148E8" w:rsidRDefault="0086262D" w:rsidP="006148E8">
            <w:pPr>
              <w:jc w:val="both"/>
              <w:rPr>
                <w:rFonts w:eastAsia="Times New Roman" w:cstheme="majorHAnsi"/>
                <w:color w:val="000000" w:themeColor="text1"/>
                <w:lang w:eastAsia="it-IT"/>
              </w:rPr>
            </w:pPr>
            <w:r w:rsidRPr="006148E8">
              <w:rPr>
                <w:rFonts w:cstheme="majorHAnsi"/>
                <w:color w:val="000000" w:themeColor="text1"/>
              </w:rPr>
              <w:t>Empori</w:t>
            </w:r>
          </w:p>
        </w:tc>
        <w:tc>
          <w:tcPr>
            <w:tcW w:w="878" w:type="dxa"/>
            <w:tcBorders>
              <w:top w:val="nil"/>
              <w:left w:val="nil"/>
              <w:bottom w:val="single" w:sz="8" w:space="0" w:color="auto"/>
              <w:right w:val="single" w:sz="8" w:space="0" w:color="auto"/>
            </w:tcBorders>
            <w:shd w:val="clear" w:color="auto" w:fill="auto"/>
            <w:noWrap/>
            <w:vAlign w:val="center"/>
            <w:hideMark/>
          </w:tcPr>
          <w:p w14:paraId="42ECA3C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91</w:t>
            </w:r>
          </w:p>
        </w:tc>
        <w:tc>
          <w:tcPr>
            <w:tcW w:w="961" w:type="dxa"/>
            <w:tcBorders>
              <w:top w:val="nil"/>
              <w:left w:val="nil"/>
              <w:bottom w:val="single" w:sz="8" w:space="0" w:color="auto"/>
              <w:right w:val="single" w:sz="8" w:space="0" w:color="auto"/>
            </w:tcBorders>
            <w:shd w:val="clear" w:color="auto" w:fill="auto"/>
            <w:noWrap/>
            <w:vAlign w:val="center"/>
            <w:hideMark/>
          </w:tcPr>
          <w:p w14:paraId="0B530486"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4,9%</w:t>
            </w:r>
          </w:p>
        </w:tc>
        <w:tc>
          <w:tcPr>
            <w:tcW w:w="1168" w:type="dxa"/>
            <w:tcBorders>
              <w:top w:val="nil"/>
              <w:left w:val="nil"/>
              <w:bottom w:val="single" w:sz="8" w:space="0" w:color="auto"/>
              <w:right w:val="single" w:sz="8" w:space="0" w:color="auto"/>
            </w:tcBorders>
            <w:shd w:val="clear" w:color="auto" w:fill="auto"/>
            <w:noWrap/>
            <w:vAlign w:val="center"/>
            <w:hideMark/>
          </w:tcPr>
          <w:p w14:paraId="0AE1414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21</w:t>
            </w:r>
          </w:p>
        </w:tc>
        <w:tc>
          <w:tcPr>
            <w:tcW w:w="1277" w:type="dxa"/>
            <w:tcBorders>
              <w:top w:val="nil"/>
              <w:left w:val="nil"/>
              <w:bottom w:val="single" w:sz="8" w:space="0" w:color="auto"/>
              <w:right w:val="single" w:sz="8" w:space="0" w:color="auto"/>
            </w:tcBorders>
            <w:shd w:val="clear" w:color="auto" w:fill="auto"/>
            <w:noWrap/>
            <w:vAlign w:val="center"/>
            <w:hideMark/>
          </w:tcPr>
          <w:p w14:paraId="7E91136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1,1%</w:t>
            </w:r>
          </w:p>
        </w:tc>
      </w:tr>
      <w:tr w:rsidR="00394C7E" w:rsidRPr="006148E8" w14:paraId="536EA6BD" w14:textId="77777777" w:rsidTr="001763DB">
        <w:trPr>
          <w:trHeight w:val="218"/>
        </w:trPr>
        <w:tc>
          <w:tcPr>
            <w:tcW w:w="5376" w:type="dxa"/>
            <w:tcBorders>
              <w:top w:val="nil"/>
              <w:left w:val="single" w:sz="8" w:space="0" w:color="auto"/>
              <w:bottom w:val="single" w:sz="8" w:space="0" w:color="auto"/>
              <w:right w:val="single" w:sz="8" w:space="0" w:color="auto"/>
            </w:tcBorders>
            <w:shd w:val="clear" w:color="auto" w:fill="auto"/>
            <w:vAlign w:val="bottom"/>
            <w:hideMark/>
          </w:tcPr>
          <w:p w14:paraId="58CFF63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Ortofrutta</w:t>
            </w:r>
          </w:p>
        </w:tc>
        <w:tc>
          <w:tcPr>
            <w:tcW w:w="878" w:type="dxa"/>
            <w:tcBorders>
              <w:top w:val="nil"/>
              <w:left w:val="nil"/>
              <w:bottom w:val="single" w:sz="8" w:space="0" w:color="auto"/>
              <w:right w:val="single" w:sz="8" w:space="0" w:color="auto"/>
            </w:tcBorders>
            <w:shd w:val="clear" w:color="auto" w:fill="auto"/>
            <w:noWrap/>
            <w:vAlign w:val="center"/>
            <w:hideMark/>
          </w:tcPr>
          <w:p w14:paraId="3D26985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-10</w:t>
            </w:r>
          </w:p>
        </w:tc>
        <w:tc>
          <w:tcPr>
            <w:tcW w:w="961" w:type="dxa"/>
            <w:tcBorders>
              <w:top w:val="nil"/>
              <w:left w:val="nil"/>
              <w:bottom w:val="single" w:sz="8" w:space="0" w:color="auto"/>
              <w:right w:val="single" w:sz="8" w:space="0" w:color="auto"/>
            </w:tcBorders>
            <w:shd w:val="clear" w:color="auto" w:fill="auto"/>
            <w:noWrap/>
            <w:vAlign w:val="center"/>
            <w:hideMark/>
          </w:tcPr>
          <w:p w14:paraId="0CAE359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-0,3%</w:t>
            </w:r>
          </w:p>
        </w:tc>
        <w:tc>
          <w:tcPr>
            <w:tcW w:w="1168" w:type="dxa"/>
            <w:tcBorders>
              <w:top w:val="nil"/>
              <w:left w:val="nil"/>
              <w:bottom w:val="single" w:sz="8" w:space="0" w:color="auto"/>
              <w:right w:val="single" w:sz="8" w:space="0" w:color="auto"/>
            </w:tcBorders>
            <w:shd w:val="clear" w:color="auto" w:fill="auto"/>
            <w:noWrap/>
            <w:vAlign w:val="center"/>
            <w:hideMark/>
          </w:tcPr>
          <w:p w14:paraId="1249C2D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-131</w:t>
            </w:r>
          </w:p>
        </w:tc>
        <w:tc>
          <w:tcPr>
            <w:tcW w:w="1277" w:type="dxa"/>
            <w:tcBorders>
              <w:top w:val="nil"/>
              <w:left w:val="nil"/>
              <w:bottom w:val="single" w:sz="8" w:space="0" w:color="auto"/>
              <w:right w:val="single" w:sz="8" w:space="0" w:color="auto"/>
            </w:tcBorders>
            <w:shd w:val="clear" w:color="auto" w:fill="auto"/>
            <w:noWrap/>
            <w:vAlign w:val="center"/>
            <w:hideMark/>
          </w:tcPr>
          <w:p w14:paraId="32C53AD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-3,9%</w:t>
            </w:r>
          </w:p>
        </w:tc>
      </w:tr>
      <w:tr w:rsidR="00394C7E" w:rsidRPr="006148E8" w14:paraId="3F29E8C8" w14:textId="77777777" w:rsidTr="001763DB">
        <w:trPr>
          <w:trHeight w:val="90"/>
        </w:trPr>
        <w:tc>
          <w:tcPr>
            <w:tcW w:w="5376" w:type="dxa"/>
            <w:tcBorders>
              <w:top w:val="nil"/>
              <w:left w:val="single" w:sz="8" w:space="0" w:color="auto"/>
              <w:bottom w:val="single" w:sz="8" w:space="0" w:color="auto"/>
              <w:right w:val="single" w:sz="8" w:space="0" w:color="auto"/>
            </w:tcBorders>
            <w:shd w:val="clear" w:color="auto" w:fill="auto"/>
            <w:vAlign w:val="bottom"/>
            <w:hideMark/>
          </w:tcPr>
          <w:p w14:paraId="56FF84B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Macellerie</w:t>
            </w:r>
          </w:p>
        </w:tc>
        <w:tc>
          <w:tcPr>
            <w:tcW w:w="878" w:type="dxa"/>
            <w:tcBorders>
              <w:top w:val="nil"/>
              <w:left w:val="nil"/>
              <w:bottom w:val="single" w:sz="8" w:space="0" w:color="auto"/>
              <w:right w:val="single" w:sz="8" w:space="0" w:color="auto"/>
            </w:tcBorders>
            <w:shd w:val="clear" w:color="auto" w:fill="auto"/>
            <w:noWrap/>
            <w:vAlign w:val="center"/>
            <w:hideMark/>
          </w:tcPr>
          <w:p w14:paraId="23924096"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-828</w:t>
            </w:r>
          </w:p>
        </w:tc>
        <w:tc>
          <w:tcPr>
            <w:tcW w:w="961" w:type="dxa"/>
            <w:tcBorders>
              <w:top w:val="nil"/>
              <w:left w:val="nil"/>
              <w:bottom w:val="single" w:sz="8" w:space="0" w:color="auto"/>
              <w:right w:val="single" w:sz="8" w:space="0" w:color="auto"/>
            </w:tcBorders>
            <w:shd w:val="clear" w:color="auto" w:fill="auto"/>
            <w:noWrap/>
            <w:vAlign w:val="center"/>
            <w:hideMark/>
          </w:tcPr>
          <w:p w14:paraId="3CC47C8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-15,6%</w:t>
            </w:r>
          </w:p>
        </w:tc>
        <w:tc>
          <w:tcPr>
            <w:tcW w:w="1168" w:type="dxa"/>
            <w:tcBorders>
              <w:top w:val="nil"/>
              <w:left w:val="nil"/>
              <w:bottom w:val="single" w:sz="8" w:space="0" w:color="auto"/>
              <w:right w:val="single" w:sz="8" w:space="0" w:color="auto"/>
            </w:tcBorders>
            <w:shd w:val="clear" w:color="auto" w:fill="auto"/>
            <w:noWrap/>
            <w:vAlign w:val="center"/>
            <w:hideMark/>
          </w:tcPr>
          <w:p w14:paraId="58E93BA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-437</w:t>
            </w:r>
          </w:p>
        </w:tc>
        <w:tc>
          <w:tcPr>
            <w:tcW w:w="1277" w:type="dxa"/>
            <w:tcBorders>
              <w:top w:val="nil"/>
              <w:left w:val="nil"/>
              <w:bottom w:val="single" w:sz="8" w:space="0" w:color="auto"/>
              <w:right w:val="single" w:sz="8" w:space="0" w:color="auto"/>
            </w:tcBorders>
            <w:shd w:val="clear" w:color="auto" w:fill="auto"/>
            <w:noWrap/>
            <w:vAlign w:val="center"/>
            <w:hideMark/>
          </w:tcPr>
          <w:p w14:paraId="06A33B63"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-8,9%</w:t>
            </w:r>
          </w:p>
        </w:tc>
      </w:tr>
      <w:tr w:rsidR="00394C7E" w:rsidRPr="006148E8" w14:paraId="01D2A4E5" w14:textId="77777777" w:rsidTr="001763DB">
        <w:trPr>
          <w:trHeight w:val="218"/>
        </w:trPr>
        <w:tc>
          <w:tcPr>
            <w:tcW w:w="5376" w:type="dxa"/>
            <w:tcBorders>
              <w:top w:val="nil"/>
              <w:left w:val="single" w:sz="8" w:space="0" w:color="auto"/>
              <w:bottom w:val="single" w:sz="8" w:space="0" w:color="auto"/>
              <w:right w:val="single" w:sz="8" w:space="0" w:color="auto"/>
            </w:tcBorders>
            <w:shd w:val="clear" w:color="auto" w:fill="auto"/>
            <w:vAlign w:val="bottom"/>
            <w:hideMark/>
          </w:tcPr>
          <w:p w14:paraId="45D413C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Pescherie</w:t>
            </w:r>
          </w:p>
        </w:tc>
        <w:tc>
          <w:tcPr>
            <w:tcW w:w="878" w:type="dxa"/>
            <w:tcBorders>
              <w:top w:val="nil"/>
              <w:left w:val="nil"/>
              <w:bottom w:val="single" w:sz="8" w:space="0" w:color="auto"/>
              <w:right w:val="single" w:sz="8" w:space="0" w:color="auto"/>
            </w:tcBorders>
            <w:shd w:val="clear" w:color="auto" w:fill="auto"/>
            <w:noWrap/>
            <w:vAlign w:val="center"/>
            <w:hideMark/>
          </w:tcPr>
          <w:p w14:paraId="74069772"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-96</w:t>
            </w:r>
          </w:p>
        </w:tc>
        <w:tc>
          <w:tcPr>
            <w:tcW w:w="961" w:type="dxa"/>
            <w:tcBorders>
              <w:top w:val="nil"/>
              <w:left w:val="nil"/>
              <w:bottom w:val="single" w:sz="8" w:space="0" w:color="auto"/>
              <w:right w:val="single" w:sz="8" w:space="0" w:color="auto"/>
            </w:tcBorders>
            <w:shd w:val="clear" w:color="auto" w:fill="auto"/>
            <w:noWrap/>
            <w:vAlign w:val="center"/>
            <w:hideMark/>
          </w:tcPr>
          <w:p w14:paraId="3BECE36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-5,3%</w:t>
            </w:r>
          </w:p>
        </w:tc>
        <w:tc>
          <w:tcPr>
            <w:tcW w:w="1168" w:type="dxa"/>
            <w:tcBorders>
              <w:top w:val="nil"/>
              <w:left w:val="nil"/>
              <w:bottom w:val="single" w:sz="8" w:space="0" w:color="auto"/>
              <w:right w:val="single" w:sz="8" w:space="0" w:color="auto"/>
            </w:tcBorders>
            <w:shd w:val="clear" w:color="auto" w:fill="auto"/>
            <w:noWrap/>
            <w:vAlign w:val="center"/>
            <w:hideMark/>
          </w:tcPr>
          <w:p w14:paraId="09DDC5E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-105</w:t>
            </w:r>
          </w:p>
        </w:tc>
        <w:tc>
          <w:tcPr>
            <w:tcW w:w="1277" w:type="dxa"/>
            <w:tcBorders>
              <w:top w:val="nil"/>
              <w:left w:val="nil"/>
              <w:bottom w:val="single" w:sz="8" w:space="0" w:color="auto"/>
              <w:right w:val="single" w:sz="8" w:space="0" w:color="auto"/>
            </w:tcBorders>
            <w:shd w:val="clear" w:color="auto" w:fill="auto"/>
            <w:noWrap/>
            <w:vAlign w:val="center"/>
            <w:hideMark/>
          </w:tcPr>
          <w:p w14:paraId="1BFE320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-5,7%</w:t>
            </w:r>
          </w:p>
        </w:tc>
      </w:tr>
      <w:tr w:rsidR="00394C7E" w:rsidRPr="006148E8" w14:paraId="06F83078" w14:textId="77777777" w:rsidTr="001763DB">
        <w:trPr>
          <w:trHeight w:val="218"/>
        </w:trPr>
        <w:tc>
          <w:tcPr>
            <w:tcW w:w="5376" w:type="dxa"/>
            <w:tcBorders>
              <w:top w:val="nil"/>
              <w:left w:val="single" w:sz="8" w:space="0" w:color="auto"/>
              <w:bottom w:val="single" w:sz="8" w:space="0" w:color="auto"/>
              <w:right w:val="single" w:sz="8" w:space="0" w:color="auto"/>
            </w:tcBorders>
            <w:shd w:val="clear" w:color="auto" w:fill="auto"/>
            <w:vAlign w:val="bottom"/>
            <w:hideMark/>
          </w:tcPr>
          <w:p w14:paraId="090C90F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Panetterie</w:t>
            </w:r>
          </w:p>
        </w:tc>
        <w:tc>
          <w:tcPr>
            <w:tcW w:w="878" w:type="dxa"/>
            <w:tcBorders>
              <w:top w:val="nil"/>
              <w:left w:val="nil"/>
              <w:bottom w:val="single" w:sz="8" w:space="0" w:color="auto"/>
              <w:right w:val="single" w:sz="8" w:space="0" w:color="auto"/>
            </w:tcBorders>
            <w:shd w:val="clear" w:color="auto" w:fill="auto"/>
            <w:noWrap/>
            <w:vAlign w:val="center"/>
            <w:hideMark/>
          </w:tcPr>
          <w:p w14:paraId="4221971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-237</w:t>
            </w:r>
          </w:p>
        </w:tc>
        <w:tc>
          <w:tcPr>
            <w:tcW w:w="961" w:type="dxa"/>
            <w:tcBorders>
              <w:top w:val="nil"/>
              <w:left w:val="nil"/>
              <w:bottom w:val="single" w:sz="8" w:space="0" w:color="auto"/>
              <w:right w:val="single" w:sz="8" w:space="0" w:color="auto"/>
            </w:tcBorders>
            <w:shd w:val="clear" w:color="auto" w:fill="auto"/>
            <w:noWrap/>
            <w:vAlign w:val="center"/>
            <w:hideMark/>
          </w:tcPr>
          <w:p w14:paraId="1DAF266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-21,4%</w:t>
            </w:r>
          </w:p>
        </w:tc>
        <w:tc>
          <w:tcPr>
            <w:tcW w:w="1168" w:type="dxa"/>
            <w:tcBorders>
              <w:top w:val="nil"/>
              <w:left w:val="nil"/>
              <w:bottom w:val="single" w:sz="8" w:space="0" w:color="auto"/>
              <w:right w:val="single" w:sz="8" w:space="0" w:color="auto"/>
            </w:tcBorders>
            <w:shd w:val="clear" w:color="auto" w:fill="auto"/>
            <w:noWrap/>
            <w:vAlign w:val="center"/>
            <w:hideMark/>
          </w:tcPr>
          <w:p w14:paraId="6360A657"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-185</w:t>
            </w:r>
          </w:p>
        </w:tc>
        <w:tc>
          <w:tcPr>
            <w:tcW w:w="1277" w:type="dxa"/>
            <w:tcBorders>
              <w:top w:val="nil"/>
              <w:left w:val="nil"/>
              <w:bottom w:val="single" w:sz="8" w:space="0" w:color="auto"/>
              <w:right w:val="single" w:sz="8" w:space="0" w:color="auto"/>
            </w:tcBorders>
            <w:shd w:val="clear" w:color="auto" w:fill="auto"/>
            <w:noWrap/>
            <w:vAlign w:val="center"/>
            <w:hideMark/>
          </w:tcPr>
          <w:p w14:paraId="0DDA338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-17,5%</w:t>
            </w:r>
          </w:p>
        </w:tc>
      </w:tr>
      <w:tr w:rsidR="00394C7E" w:rsidRPr="006148E8" w14:paraId="02CF539C" w14:textId="77777777" w:rsidTr="001763DB">
        <w:trPr>
          <w:trHeight w:val="218"/>
        </w:trPr>
        <w:tc>
          <w:tcPr>
            <w:tcW w:w="5376" w:type="dxa"/>
            <w:tcBorders>
              <w:top w:val="nil"/>
              <w:left w:val="single" w:sz="8" w:space="0" w:color="auto"/>
              <w:bottom w:val="single" w:sz="8" w:space="0" w:color="auto"/>
              <w:right w:val="single" w:sz="8" w:space="0" w:color="auto"/>
            </w:tcBorders>
            <w:shd w:val="clear" w:color="auto" w:fill="auto"/>
            <w:vAlign w:val="bottom"/>
            <w:hideMark/>
          </w:tcPr>
          <w:p w14:paraId="7A681E5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Negozi di Bevande</w:t>
            </w:r>
          </w:p>
        </w:tc>
        <w:tc>
          <w:tcPr>
            <w:tcW w:w="878" w:type="dxa"/>
            <w:tcBorders>
              <w:top w:val="nil"/>
              <w:left w:val="nil"/>
              <w:bottom w:val="single" w:sz="8" w:space="0" w:color="auto"/>
              <w:right w:val="single" w:sz="8" w:space="0" w:color="auto"/>
            </w:tcBorders>
            <w:shd w:val="clear" w:color="auto" w:fill="auto"/>
            <w:noWrap/>
            <w:vAlign w:val="center"/>
            <w:hideMark/>
          </w:tcPr>
          <w:p w14:paraId="07600882"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-22</w:t>
            </w:r>
          </w:p>
        </w:tc>
        <w:tc>
          <w:tcPr>
            <w:tcW w:w="961" w:type="dxa"/>
            <w:tcBorders>
              <w:top w:val="nil"/>
              <w:left w:val="nil"/>
              <w:bottom w:val="single" w:sz="8" w:space="0" w:color="auto"/>
              <w:right w:val="single" w:sz="8" w:space="0" w:color="auto"/>
            </w:tcBorders>
            <w:shd w:val="clear" w:color="auto" w:fill="auto"/>
            <w:noWrap/>
            <w:vAlign w:val="center"/>
            <w:hideMark/>
          </w:tcPr>
          <w:p w14:paraId="0A33191B"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-2,1%</w:t>
            </w:r>
          </w:p>
        </w:tc>
        <w:tc>
          <w:tcPr>
            <w:tcW w:w="1168" w:type="dxa"/>
            <w:tcBorders>
              <w:top w:val="nil"/>
              <w:left w:val="nil"/>
              <w:bottom w:val="single" w:sz="8" w:space="0" w:color="auto"/>
              <w:right w:val="single" w:sz="8" w:space="0" w:color="auto"/>
            </w:tcBorders>
            <w:shd w:val="clear" w:color="auto" w:fill="auto"/>
            <w:noWrap/>
            <w:vAlign w:val="center"/>
            <w:hideMark/>
          </w:tcPr>
          <w:p w14:paraId="6556C4E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-46</w:t>
            </w:r>
          </w:p>
        </w:tc>
        <w:tc>
          <w:tcPr>
            <w:tcW w:w="1277" w:type="dxa"/>
            <w:tcBorders>
              <w:top w:val="nil"/>
              <w:left w:val="nil"/>
              <w:bottom w:val="single" w:sz="8" w:space="0" w:color="auto"/>
              <w:right w:val="single" w:sz="8" w:space="0" w:color="auto"/>
            </w:tcBorders>
            <w:shd w:val="clear" w:color="auto" w:fill="auto"/>
            <w:noWrap/>
            <w:vAlign w:val="center"/>
            <w:hideMark/>
          </w:tcPr>
          <w:p w14:paraId="4CCD80B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-4,2%</w:t>
            </w:r>
          </w:p>
        </w:tc>
      </w:tr>
      <w:tr w:rsidR="00394C7E" w:rsidRPr="006148E8" w14:paraId="06B78054" w14:textId="77777777" w:rsidTr="001763DB">
        <w:trPr>
          <w:trHeight w:val="242"/>
        </w:trPr>
        <w:tc>
          <w:tcPr>
            <w:tcW w:w="5376" w:type="dxa"/>
            <w:tcBorders>
              <w:top w:val="nil"/>
              <w:left w:val="single" w:sz="8" w:space="0" w:color="auto"/>
              <w:bottom w:val="single" w:sz="8" w:space="0" w:color="auto"/>
              <w:right w:val="single" w:sz="8" w:space="0" w:color="auto"/>
            </w:tcBorders>
            <w:shd w:val="clear" w:color="auto" w:fill="auto"/>
            <w:vAlign w:val="bottom"/>
            <w:hideMark/>
          </w:tcPr>
          <w:p w14:paraId="66C72F7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Tabaccherie</w:t>
            </w:r>
          </w:p>
        </w:tc>
        <w:tc>
          <w:tcPr>
            <w:tcW w:w="878" w:type="dxa"/>
            <w:tcBorders>
              <w:top w:val="nil"/>
              <w:left w:val="nil"/>
              <w:bottom w:val="single" w:sz="8" w:space="0" w:color="auto"/>
              <w:right w:val="single" w:sz="8" w:space="0" w:color="auto"/>
            </w:tcBorders>
            <w:shd w:val="clear" w:color="auto" w:fill="auto"/>
            <w:noWrap/>
            <w:vAlign w:val="center"/>
            <w:hideMark/>
          </w:tcPr>
          <w:p w14:paraId="027486A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109</w:t>
            </w:r>
          </w:p>
        </w:tc>
        <w:tc>
          <w:tcPr>
            <w:tcW w:w="961" w:type="dxa"/>
            <w:tcBorders>
              <w:top w:val="nil"/>
              <w:left w:val="nil"/>
              <w:bottom w:val="single" w:sz="8" w:space="0" w:color="auto"/>
              <w:right w:val="single" w:sz="8" w:space="0" w:color="auto"/>
            </w:tcBorders>
            <w:shd w:val="clear" w:color="auto" w:fill="auto"/>
            <w:noWrap/>
            <w:vAlign w:val="center"/>
            <w:hideMark/>
          </w:tcPr>
          <w:p w14:paraId="4B5E9BC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1,7%</w:t>
            </w:r>
          </w:p>
        </w:tc>
        <w:tc>
          <w:tcPr>
            <w:tcW w:w="1168" w:type="dxa"/>
            <w:tcBorders>
              <w:top w:val="nil"/>
              <w:left w:val="nil"/>
              <w:bottom w:val="single" w:sz="8" w:space="0" w:color="auto"/>
              <w:right w:val="single" w:sz="8" w:space="0" w:color="auto"/>
            </w:tcBorders>
            <w:shd w:val="clear" w:color="auto" w:fill="auto"/>
            <w:noWrap/>
            <w:vAlign w:val="center"/>
            <w:hideMark/>
          </w:tcPr>
          <w:p w14:paraId="078AAC0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-173</w:t>
            </w:r>
          </w:p>
        </w:tc>
        <w:tc>
          <w:tcPr>
            <w:tcW w:w="1277" w:type="dxa"/>
            <w:tcBorders>
              <w:top w:val="nil"/>
              <w:left w:val="nil"/>
              <w:bottom w:val="single" w:sz="8" w:space="0" w:color="auto"/>
              <w:right w:val="single" w:sz="8" w:space="0" w:color="auto"/>
            </w:tcBorders>
            <w:shd w:val="clear" w:color="auto" w:fill="auto"/>
            <w:noWrap/>
            <w:vAlign w:val="center"/>
            <w:hideMark/>
          </w:tcPr>
          <w:p w14:paraId="6DF5B89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-2,5%</w:t>
            </w:r>
          </w:p>
        </w:tc>
      </w:tr>
      <w:tr w:rsidR="00394C7E" w:rsidRPr="006148E8" w14:paraId="50084396" w14:textId="77777777" w:rsidTr="001763DB">
        <w:trPr>
          <w:trHeight w:val="90"/>
        </w:trPr>
        <w:tc>
          <w:tcPr>
            <w:tcW w:w="5376" w:type="dxa"/>
            <w:tcBorders>
              <w:top w:val="nil"/>
              <w:left w:val="single" w:sz="8" w:space="0" w:color="auto"/>
              <w:bottom w:val="single" w:sz="8" w:space="0" w:color="auto"/>
              <w:right w:val="single" w:sz="8" w:space="0" w:color="auto"/>
            </w:tcBorders>
            <w:shd w:val="clear" w:color="auto" w:fill="auto"/>
            <w:vAlign w:val="bottom"/>
            <w:hideMark/>
          </w:tcPr>
          <w:p w14:paraId="48C2D99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Distributori carburanti</w:t>
            </w:r>
          </w:p>
        </w:tc>
        <w:tc>
          <w:tcPr>
            <w:tcW w:w="878" w:type="dxa"/>
            <w:tcBorders>
              <w:top w:val="nil"/>
              <w:left w:val="nil"/>
              <w:bottom w:val="single" w:sz="8" w:space="0" w:color="auto"/>
              <w:right w:val="single" w:sz="8" w:space="0" w:color="auto"/>
            </w:tcBorders>
            <w:shd w:val="clear" w:color="auto" w:fill="auto"/>
            <w:noWrap/>
            <w:vAlign w:val="center"/>
            <w:hideMark/>
          </w:tcPr>
          <w:p w14:paraId="7621CC0B"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-832</w:t>
            </w:r>
          </w:p>
        </w:tc>
        <w:tc>
          <w:tcPr>
            <w:tcW w:w="961" w:type="dxa"/>
            <w:tcBorders>
              <w:top w:val="nil"/>
              <w:left w:val="nil"/>
              <w:bottom w:val="single" w:sz="8" w:space="0" w:color="auto"/>
              <w:right w:val="single" w:sz="8" w:space="0" w:color="auto"/>
            </w:tcBorders>
            <w:shd w:val="clear" w:color="auto" w:fill="auto"/>
            <w:noWrap/>
            <w:vAlign w:val="center"/>
            <w:hideMark/>
          </w:tcPr>
          <w:p w14:paraId="099DB49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-22,3%</w:t>
            </w:r>
          </w:p>
        </w:tc>
        <w:tc>
          <w:tcPr>
            <w:tcW w:w="1168" w:type="dxa"/>
            <w:tcBorders>
              <w:top w:val="nil"/>
              <w:left w:val="nil"/>
              <w:bottom w:val="single" w:sz="8" w:space="0" w:color="auto"/>
              <w:right w:val="single" w:sz="8" w:space="0" w:color="auto"/>
            </w:tcBorders>
            <w:shd w:val="clear" w:color="auto" w:fill="auto"/>
            <w:noWrap/>
            <w:vAlign w:val="center"/>
            <w:hideMark/>
          </w:tcPr>
          <w:p w14:paraId="0224C7D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-393</w:t>
            </w:r>
          </w:p>
        </w:tc>
        <w:tc>
          <w:tcPr>
            <w:tcW w:w="1277" w:type="dxa"/>
            <w:tcBorders>
              <w:top w:val="nil"/>
              <w:left w:val="nil"/>
              <w:bottom w:val="single" w:sz="8" w:space="0" w:color="auto"/>
              <w:right w:val="single" w:sz="8" w:space="0" w:color="auto"/>
            </w:tcBorders>
            <w:shd w:val="clear" w:color="auto" w:fill="auto"/>
            <w:noWrap/>
            <w:vAlign w:val="center"/>
            <w:hideMark/>
          </w:tcPr>
          <w:p w14:paraId="581245B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-11,9%</w:t>
            </w:r>
          </w:p>
        </w:tc>
      </w:tr>
      <w:tr w:rsidR="00394C7E" w:rsidRPr="006148E8" w14:paraId="51A13321" w14:textId="77777777" w:rsidTr="001763DB">
        <w:trPr>
          <w:trHeight w:val="90"/>
        </w:trPr>
        <w:tc>
          <w:tcPr>
            <w:tcW w:w="5376" w:type="dxa"/>
            <w:tcBorders>
              <w:top w:val="nil"/>
              <w:left w:val="single" w:sz="8" w:space="0" w:color="auto"/>
              <w:bottom w:val="single" w:sz="8" w:space="0" w:color="auto"/>
              <w:right w:val="single" w:sz="8" w:space="0" w:color="auto"/>
            </w:tcBorders>
            <w:shd w:val="clear" w:color="auto" w:fill="auto"/>
            <w:vAlign w:val="bottom"/>
            <w:hideMark/>
          </w:tcPr>
          <w:p w14:paraId="6815A962"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lastRenderedPageBreak/>
              <w:t>Ferramenta</w:t>
            </w:r>
          </w:p>
        </w:tc>
        <w:tc>
          <w:tcPr>
            <w:tcW w:w="878" w:type="dxa"/>
            <w:tcBorders>
              <w:top w:val="nil"/>
              <w:left w:val="nil"/>
              <w:bottom w:val="single" w:sz="8" w:space="0" w:color="auto"/>
              <w:right w:val="single" w:sz="8" w:space="0" w:color="auto"/>
            </w:tcBorders>
            <w:shd w:val="clear" w:color="auto" w:fill="auto"/>
            <w:noWrap/>
            <w:vAlign w:val="center"/>
            <w:hideMark/>
          </w:tcPr>
          <w:p w14:paraId="220FF0EA"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-765</w:t>
            </w:r>
          </w:p>
        </w:tc>
        <w:tc>
          <w:tcPr>
            <w:tcW w:w="961" w:type="dxa"/>
            <w:tcBorders>
              <w:top w:val="nil"/>
              <w:left w:val="nil"/>
              <w:bottom w:val="single" w:sz="8" w:space="0" w:color="auto"/>
              <w:right w:val="single" w:sz="8" w:space="0" w:color="auto"/>
            </w:tcBorders>
            <w:shd w:val="clear" w:color="auto" w:fill="auto"/>
            <w:noWrap/>
            <w:vAlign w:val="center"/>
            <w:hideMark/>
          </w:tcPr>
          <w:p w14:paraId="589A127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-21,4%</w:t>
            </w:r>
          </w:p>
        </w:tc>
        <w:tc>
          <w:tcPr>
            <w:tcW w:w="1168" w:type="dxa"/>
            <w:tcBorders>
              <w:top w:val="nil"/>
              <w:left w:val="nil"/>
              <w:bottom w:val="single" w:sz="8" w:space="0" w:color="auto"/>
              <w:right w:val="single" w:sz="8" w:space="0" w:color="auto"/>
            </w:tcBorders>
            <w:shd w:val="clear" w:color="auto" w:fill="auto"/>
            <w:noWrap/>
            <w:vAlign w:val="center"/>
            <w:hideMark/>
          </w:tcPr>
          <w:p w14:paraId="29C2D6F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-339</w:t>
            </w:r>
          </w:p>
        </w:tc>
        <w:tc>
          <w:tcPr>
            <w:tcW w:w="1277" w:type="dxa"/>
            <w:tcBorders>
              <w:top w:val="nil"/>
              <w:left w:val="nil"/>
              <w:bottom w:val="single" w:sz="8" w:space="0" w:color="auto"/>
              <w:right w:val="single" w:sz="8" w:space="0" w:color="auto"/>
            </w:tcBorders>
            <w:shd w:val="clear" w:color="auto" w:fill="auto"/>
            <w:noWrap/>
            <w:vAlign w:val="center"/>
            <w:hideMark/>
          </w:tcPr>
          <w:p w14:paraId="32BE828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-10,8%</w:t>
            </w:r>
          </w:p>
        </w:tc>
      </w:tr>
      <w:tr w:rsidR="00394C7E" w:rsidRPr="006148E8" w14:paraId="5C37D363" w14:textId="77777777" w:rsidTr="001763DB">
        <w:trPr>
          <w:trHeight w:val="90"/>
        </w:trPr>
        <w:tc>
          <w:tcPr>
            <w:tcW w:w="5376" w:type="dxa"/>
            <w:tcBorders>
              <w:top w:val="nil"/>
              <w:left w:val="single" w:sz="8" w:space="0" w:color="auto"/>
              <w:bottom w:val="single" w:sz="8" w:space="0" w:color="auto"/>
              <w:right w:val="single" w:sz="8" w:space="0" w:color="auto"/>
            </w:tcBorders>
            <w:shd w:val="clear" w:color="auto" w:fill="auto"/>
            <w:vAlign w:val="bottom"/>
            <w:hideMark/>
          </w:tcPr>
          <w:p w14:paraId="30334F8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Librerie</w:t>
            </w:r>
          </w:p>
        </w:tc>
        <w:tc>
          <w:tcPr>
            <w:tcW w:w="878" w:type="dxa"/>
            <w:tcBorders>
              <w:top w:val="nil"/>
              <w:left w:val="nil"/>
              <w:bottom w:val="single" w:sz="8" w:space="0" w:color="auto"/>
              <w:right w:val="single" w:sz="8" w:space="0" w:color="auto"/>
            </w:tcBorders>
            <w:shd w:val="clear" w:color="auto" w:fill="auto"/>
            <w:noWrap/>
            <w:vAlign w:val="center"/>
            <w:hideMark/>
          </w:tcPr>
          <w:p w14:paraId="3B7EE66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-101</w:t>
            </w:r>
          </w:p>
        </w:tc>
        <w:tc>
          <w:tcPr>
            <w:tcW w:w="961" w:type="dxa"/>
            <w:tcBorders>
              <w:top w:val="nil"/>
              <w:left w:val="nil"/>
              <w:bottom w:val="single" w:sz="8" w:space="0" w:color="auto"/>
              <w:right w:val="single" w:sz="8" w:space="0" w:color="auto"/>
            </w:tcBorders>
            <w:shd w:val="clear" w:color="auto" w:fill="auto"/>
            <w:noWrap/>
            <w:vAlign w:val="center"/>
            <w:hideMark/>
          </w:tcPr>
          <w:p w14:paraId="0E58E62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-7,8%</w:t>
            </w:r>
          </w:p>
        </w:tc>
        <w:tc>
          <w:tcPr>
            <w:tcW w:w="1168" w:type="dxa"/>
            <w:tcBorders>
              <w:top w:val="nil"/>
              <w:left w:val="nil"/>
              <w:bottom w:val="single" w:sz="8" w:space="0" w:color="auto"/>
              <w:right w:val="single" w:sz="8" w:space="0" w:color="auto"/>
            </w:tcBorders>
            <w:shd w:val="clear" w:color="auto" w:fill="auto"/>
            <w:noWrap/>
            <w:vAlign w:val="center"/>
            <w:hideMark/>
          </w:tcPr>
          <w:p w14:paraId="0381B0D3"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-55</w:t>
            </w:r>
          </w:p>
        </w:tc>
        <w:tc>
          <w:tcPr>
            <w:tcW w:w="1277" w:type="dxa"/>
            <w:tcBorders>
              <w:top w:val="nil"/>
              <w:left w:val="nil"/>
              <w:bottom w:val="single" w:sz="8" w:space="0" w:color="auto"/>
              <w:right w:val="single" w:sz="8" w:space="0" w:color="auto"/>
            </w:tcBorders>
            <w:shd w:val="clear" w:color="auto" w:fill="auto"/>
            <w:noWrap/>
            <w:vAlign w:val="center"/>
            <w:hideMark/>
          </w:tcPr>
          <w:p w14:paraId="2169358B"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-4,4%</w:t>
            </w:r>
          </w:p>
        </w:tc>
      </w:tr>
      <w:tr w:rsidR="00394C7E" w:rsidRPr="006148E8" w14:paraId="2A314E08" w14:textId="77777777" w:rsidTr="001763DB">
        <w:trPr>
          <w:trHeight w:val="218"/>
        </w:trPr>
        <w:tc>
          <w:tcPr>
            <w:tcW w:w="5376" w:type="dxa"/>
            <w:tcBorders>
              <w:top w:val="nil"/>
              <w:left w:val="single" w:sz="8" w:space="0" w:color="auto"/>
              <w:bottom w:val="single" w:sz="8" w:space="0" w:color="auto"/>
              <w:right w:val="single" w:sz="8" w:space="0" w:color="auto"/>
            </w:tcBorders>
            <w:shd w:val="clear" w:color="auto" w:fill="auto"/>
            <w:vAlign w:val="bottom"/>
            <w:hideMark/>
          </w:tcPr>
          <w:p w14:paraId="64B55827"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Giornalai</w:t>
            </w:r>
          </w:p>
        </w:tc>
        <w:tc>
          <w:tcPr>
            <w:tcW w:w="878" w:type="dxa"/>
            <w:tcBorders>
              <w:top w:val="nil"/>
              <w:left w:val="nil"/>
              <w:bottom w:val="single" w:sz="8" w:space="0" w:color="auto"/>
              <w:right w:val="single" w:sz="8" w:space="0" w:color="auto"/>
            </w:tcBorders>
            <w:shd w:val="clear" w:color="auto" w:fill="auto"/>
            <w:noWrap/>
            <w:vAlign w:val="center"/>
            <w:hideMark/>
          </w:tcPr>
          <w:p w14:paraId="1C03AC2F"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-1.608</w:t>
            </w:r>
          </w:p>
        </w:tc>
        <w:tc>
          <w:tcPr>
            <w:tcW w:w="961" w:type="dxa"/>
            <w:tcBorders>
              <w:top w:val="nil"/>
              <w:left w:val="nil"/>
              <w:bottom w:val="single" w:sz="8" w:space="0" w:color="auto"/>
              <w:right w:val="single" w:sz="8" w:space="0" w:color="auto"/>
            </w:tcBorders>
            <w:shd w:val="clear" w:color="auto" w:fill="auto"/>
            <w:noWrap/>
            <w:vAlign w:val="center"/>
            <w:hideMark/>
          </w:tcPr>
          <w:p w14:paraId="53F13CA6"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-38,0%</w:t>
            </w:r>
          </w:p>
        </w:tc>
        <w:tc>
          <w:tcPr>
            <w:tcW w:w="1168" w:type="dxa"/>
            <w:tcBorders>
              <w:top w:val="nil"/>
              <w:left w:val="nil"/>
              <w:bottom w:val="single" w:sz="8" w:space="0" w:color="auto"/>
              <w:right w:val="single" w:sz="8" w:space="0" w:color="auto"/>
            </w:tcBorders>
            <w:shd w:val="clear" w:color="auto" w:fill="auto"/>
            <w:noWrap/>
            <w:vAlign w:val="center"/>
            <w:hideMark/>
          </w:tcPr>
          <w:p w14:paraId="68B0814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-768</w:t>
            </w:r>
          </w:p>
        </w:tc>
        <w:tc>
          <w:tcPr>
            <w:tcW w:w="1277" w:type="dxa"/>
            <w:tcBorders>
              <w:top w:val="nil"/>
              <w:left w:val="nil"/>
              <w:bottom w:val="single" w:sz="8" w:space="0" w:color="auto"/>
              <w:right w:val="single" w:sz="8" w:space="0" w:color="auto"/>
            </w:tcBorders>
            <w:shd w:val="clear" w:color="auto" w:fill="auto"/>
            <w:noWrap/>
            <w:vAlign w:val="center"/>
            <w:hideMark/>
          </w:tcPr>
          <w:p w14:paraId="565C3385"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-22,6%</w:t>
            </w:r>
          </w:p>
        </w:tc>
      </w:tr>
      <w:tr w:rsidR="00394C7E" w:rsidRPr="006148E8" w14:paraId="248500D6" w14:textId="77777777" w:rsidTr="001763DB">
        <w:trPr>
          <w:trHeight w:val="218"/>
        </w:trPr>
        <w:tc>
          <w:tcPr>
            <w:tcW w:w="5376" w:type="dxa"/>
            <w:tcBorders>
              <w:top w:val="nil"/>
              <w:left w:val="single" w:sz="8" w:space="0" w:color="auto"/>
              <w:bottom w:val="single" w:sz="8" w:space="0" w:color="auto"/>
              <w:right w:val="single" w:sz="8" w:space="0" w:color="auto"/>
            </w:tcBorders>
            <w:shd w:val="clear" w:color="auto" w:fill="auto"/>
            <w:vAlign w:val="bottom"/>
            <w:hideMark/>
          </w:tcPr>
          <w:p w14:paraId="408B6525" w14:textId="77777777" w:rsidR="0086262D" w:rsidRPr="006148E8" w:rsidRDefault="0086262D" w:rsidP="006148E8">
            <w:pPr>
              <w:jc w:val="both"/>
              <w:rPr>
                <w:rFonts w:eastAsia="Times New Roman" w:cstheme="majorHAnsi"/>
                <w:color w:val="000000" w:themeColor="text1"/>
                <w:lang w:eastAsia="it-IT"/>
              </w:rPr>
            </w:pPr>
            <w:r w:rsidRPr="006148E8">
              <w:rPr>
                <w:rFonts w:cstheme="majorHAnsi"/>
                <w:color w:val="000000" w:themeColor="text1"/>
              </w:rPr>
              <w:t>Confezioni per adulti</w:t>
            </w:r>
          </w:p>
        </w:tc>
        <w:tc>
          <w:tcPr>
            <w:tcW w:w="878" w:type="dxa"/>
            <w:tcBorders>
              <w:top w:val="nil"/>
              <w:left w:val="nil"/>
              <w:bottom w:val="single" w:sz="8" w:space="0" w:color="auto"/>
              <w:right w:val="single" w:sz="8" w:space="0" w:color="auto"/>
            </w:tcBorders>
            <w:shd w:val="clear" w:color="auto" w:fill="auto"/>
            <w:noWrap/>
            <w:vAlign w:val="center"/>
            <w:hideMark/>
          </w:tcPr>
          <w:p w14:paraId="3EB406E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1.851</w:t>
            </w:r>
          </w:p>
        </w:tc>
        <w:tc>
          <w:tcPr>
            <w:tcW w:w="961" w:type="dxa"/>
            <w:tcBorders>
              <w:top w:val="nil"/>
              <w:left w:val="nil"/>
              <w:bottom w:val="single" w:sz="8" w:space="0" w:color="auto"/>
              <w:right w:val="single" w:sz="8" w:space="0" w:color="auto"/>
            </w:tcBorders>
            <w:shd w:val="clear" w:color="auto" w:fill="auto"/>
            <w:noWrap/>
            <w:vAlign w:val="center"/>
            <w:hideMark/>
          </w:tcPr>
          <w:p w14:paraId="1B7A545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27,5%</w:t>
            </w:r>
          </w:p>
        </w:tc>
        <w:tc>
          <w:tcPr>
            <w:tcW w:w="1168" w:type="dxa"/>
            <w:tcBorders>
              <w:top w:val="nil"/>
              <w:left w:val="nil"/>
              <w:bottom w:val="single" w:sz="8" w:space="0" w:color="auto"/>
              <w:right w:val="single" w:sz="8" w:space="0" w:color="auto"/>
            </w:tcBorders>
            <w:shd w:val="clear" w:color="auto" w:fill="auto"/>
            <w:noWrap/>
            <w:vAlign w:val="center"/>
            <w:hideMark/>
          </w:tcPr>
          <w:p w14:paraId="3F0267D2"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36</w:t>
            </w:r>
          </w:p>
        </w:tc>
        <w:tc>
          <w:tcPr>
            <w:tcW w:w="1277" w:type="dxa"/>
            <w:tcBorders>
              <w:top w:val="nil"/>
              <w:left w:val="nil"/>
              <w:bottom w:val="single" w:sz="8" w:space="0" w:color="auto"/>
              <w:right w:val="single" w:sz="8" w:space="0" w:color="auto"/>
            </w:tcBorders>
            <w:shd w:val="clear" w:color="auto" w:fill="auto"/>
            <w:noWrap/>
            <w:vAlign w:val="center"/>
            <w:hideMark/>
          </w:tcPr>
          <w:p w14:paraId="5A55B17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0,4%</w:t>
            </w:r>
          </w:p>
        </w:tc>
      </w:tr>
      <w:tr w:rsidR="00394C7E" w:rsidRPr="006148E8" w14:paraId="5601BC4B" w14:textId="77777777" w:rsidTr="001763DB">
        <w:trPr>
          <w:trHeight w:val="209"/>
        </w:trPr>
        <w:tc>
          <w:tcPr>
            <w:tcW w:w="5376" w:type="dxa"/>
            <w:tcBorders>
              <w:top w:val="nil"/>
              <w:left w:val="single" w:sz="8" w:space="0" w:color="auto"/>
              <w:bottom w:val="single" w:sz="8" w:space="0" w:color="auto"/>
              <w:right w:val="single" w:sz="8" w:space="0" w:color="auto"/>
            </w:tcBorders>
            <w:shd w:val="clear" w:color="auto" w:fill="auto"/>
            <w:vAlign w:val="bottom"/>
            <w:hideMark/>
          </w:tcPr>
          <w:p w14:paraId="1D7DE1D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Confezioni per bambini e neonati</w:t>
            </w:r>
          </w:p>
        </w:tc>
        <w:tc>
          <w:tcPr>
            <w:tcW w:w="878" w:type="dxa"/>
            <w:tcBorders>
              <w:top w:val="nil"/>
              <w:left w:val="nil"/>
              <w:bottom w:val="single" w:sz="8" w:space="0" w:color="auto"/>
              <w:right w:val="single" w:sz="8" w:space="0" w:color="auto"/>
            </w:tcBorders>
            <w:shd w:val="clear" w:color="auto" w:fill="auto"/>
            <w:noWrap/>
            <w:vAlign w:val="center"/>
            <w:hideMark/>
          </w:tcPr>
          <w:p w14:paraId="014DD59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-123</w:t>
            </w:r>
          </w:p>
        </w:tc>
        <w:tc>
          <w:tcPr>
            <w:tcW w:w="961" w:type="dxa"/>
            <w:tcBorders>
              <w:top w:val="nil"/>
              <w:left w:val="nil"/>
              <w:bottom w:val="single" w:sz="8" w:space="0" w:color="auto"/>
              <w:right w:val="single" w:sz="8" w:space="0" w:color="auto"/>
            </w:tcBorders>
            <w:shd w:val="clear" w:color="auto" w:fill="auto"/>
            <w:noWrap/>
            <w:vAlign w:val="center"/>
            <w:hideMark/>
          </w:tcPr>
          <w:p w14:paraId="2208C01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-7,7%</w:t>
            </w:r>
          </w:p>
        </w:tc>
        <w:tc>
          <w:tcPr>
            <w:tcW w:w="1168" w:type="dxa"/>
            <w:tcBorders>
              <w:top w:val="nil"/>
              <w:left w:val="nil"/>
              <w:bottom w:val="single" w:sz="8" w:space="0" w:color="auto"/>
              <w:right w:val="single" w:sz="8" w:space="0" w:color="auto"/>
            </w:tcBorders>
            <w:shd w:val="clear" w:color="auto" w:fill="auto"/>
            <w:noWrap/>
            <w:vAlign w:val="center"/>
            <w:hideMark/>
          </w:tcPr>
          <w:p w14:paraId="44BD8327"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-168</w:t>
            </w:r>
          </w:p>
        </w:tc>
        <w:tc>
          <w:tcPr>
            <w:tcW w:w="1277" w:type="dxa"/>
            <w:tcBorders>
              <w:top w:val="nil"/>
              <w:left w:val="nil"/>
              <w:bottom w:val="single" w:sz="8" w:space="0" w:color="auto"/>
              <w:right w:val="single" w:sz="8" w:space="0" w:color="auto"/>
            </w:tcBorders>
            <w:shd w:val="clear" w:color="auto" w:fill="auto"/>
            <w:noWrap/>
            <w:vAlign w:val="center"/>
            <w:hideMark/>
          </w:tcPr>
          <w:p w14:paraId="355D43E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-10,2%</w:t>
            </w:r>
          </w:p>
        </w:tc>
      </w:tr>
      <w:tr w:rsidR="00394C7E" w:rsidRPr="006148E8" w14:paraId="3EF7636A" w14:textId="77777777" w:rsidTr="001763DB">
        <w:trPr>
          <w:trHeight w:val="90"/>
        </w:trPr>
        <w:tc>
          <w:tcPr>
            <w:tcW w:w="5376" w:type="dxa"/>
            <w:tcBorders>
              <w:top w:val="nil"/>
              <w:left w:val="single" w:sz="8" w:space="0" w:color="auto"/>
              <w:bottom w:val="single" w:sz="8" w:space="0" w:color="auto"/>
              <w:right w:val="single" w:sz="8" w:space="0" w:color="auto"/>
            </w:tcBorders>
            <w:shd w:val="clear" w:color="auto" w:fill="auto"/>
            <w:vAlign w:val="bottom"/>
            <w:hideMark/>
          </w:tcPr>
          <w:p w14:paraId="1BA173DF"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Biancheria</w:t>
            </w:r>
          </w:p>
        </w:tc>
        <w:tc>
          <w:tcPr>
            <w:tcW w:w="878" w:type="dxa"/>
            <w:tcBorders>
              <w:top w:val="nil"/>
              <w:left w:val="nil"/>
              <w:bottom w:val="single" w:sz="8" w:space="0" w:color="auto"/>
              <w:right w:val="single" w:sz="8" w:space="0" w:color="auto"/>
            </w:tcBorders>
            <w:shd w:val="clear" w:color="auto" w:fill="auto"/>
            <w:noWrap/>
            <w:vAlign w:val="center"/>
            <w:hideMark/>
          </w:tcPr>
          <w:p w14:paraId="1BE6F7B3"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-435</w:t>
            </w:r>
          </w:p>
        </w:tc>
        <w:tc>
          <w:tcPr>
            <w:tcW w:w="961" w:type="dxa"/>
            <w:tcBorders>
              <w:top w:val="nil"/>
              <w:left w:val="nil"/>
              <w:bottom w:val="single" w:sz="8" w:space="0" w:color="auto"/>
              <w:right w:val="single" w:sz="8" w:space="0" w:color="auto"/>
            </w:tcBorders>
            <w:shd w:val="clear" w:color="auto" w:fill="auto"/>
            <w:noWrap/>
            <w:vAlign w:val="center"/>
            <w:hideMark/>
          </w:tcPr>
          <w:p w14:paraId="06B93EA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-18,3%</w:t>
            </w:r>
          </w:p>
        </w:tc>
        <w:tc>
          <w:tcPr>
            <w:tcW w:w="1168" w:type="dxa"/>
            <w:tcBorders>
              <w:top w:val="nil"/>
              <w:left w:val="nil"/>
              <w:bottom w:val="single" w:sz="8" w:space="0" w:color="auto"/>
              <w:right w:val="single" w:sz="8" w:space="0" w:color="auto"/>
            </w:tcBorders>
            <w:shd w:val="clear" w:color="auto" w:fill="auto"/>
            <w:noWrap/>
            <w:vAlign w:val="center"/>
            <w:hideMark/>
          </w:tcPr>
          <w:p w14:paraId="0BA58874"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-329</w:t>
            </w:r>
          </w:p>
        </w:tc>
        <w:tc>
          <w:tcPr>
            <w:tcW w:w="1277" w:type="dxa"/>
            <w:tcBorders>
              <w:top w:val="nil"/>
              <w:left w:val="nil"/>
              <w:bottom w:val="single" w:sz="8" w:space="0" w:color="auto"/>
              <w:right w:val="single" w:sz="8" w:space="0" w:color="auto"/>
            </w:tcBorders>
            <w:shd w:val="clear" w:color="auto" w:fill="auto"/>
            <w:noWrap/>
            <w:vAlign w:val="center"/>
            <w:hideMark/>
          </w:tcPr>
          <w:p w14:paraId="6870805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-14,5%</w:t>
            </w:r>
          </w:p>
        </w:tc>
      </w:tr>
      <w:tr w:rsidR="00394C7E" w:rsidRPr="006148E8" w14:paraId="4D228E99" w14:textId="77777777" w:rsidTr="001763DB">
        <w:trPr>
          <w:trHeight w:val="218"/>
        </w:trPr>
        <w:tc>
          <w:tcPr>
            <w:tcW w:w="5376" w:type="dxa"/>
            <w:tcBorders>
              <w:top w:val="nil"/>
              <w:left w:val="single" w:sz="8" w:space="0" w:color="auto"/>
              <w:bottom w:val="single" w:sz="8" w:space="0" w:color="auto"/>
              <w:right w:val="single" w:sz="8" w:space="0" w:color="auto"/>
            </w:tcBorders>
            <w:shd w:val="clear" w:color="auto" w:fill="auto"/>
            <w:vAlign w:val="bottom"/>
            <w:hideMark/>
          </w:tcPr>
          <w:p w14:paraId="33ADB7F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Calzature e accessori</w:t>
            </w:r>
          </w:p>
        </w:tc>
        <w:tc>
          <w:tcPr>
            <w:tcW w:w="878" w:type="dxa"/>
            <w:tcBorders>
              <w:top w:val="nil"/>
              <w:left w:val="nil"/>
              <w:bottom w:val="single" w:sz="8" w:space="0" w:color="auto"/>
              <w:right w:val="single" w:sz="8" w:space="0" w:color="auto"/>
            </w:tcBorders>
            <w:shd w:val="clear" w:color="auto" w:fill="auto"/>
            <w:noWrap/>
            <w:vAlign w:val="center"/>
            <w:hideMark/>
          </w:tcPr>
          <w:p w14:paraId="2A7866FD"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-926</w:t>
            </w:r>
          </w:p>
        </w:tc>
        <w:tc>
          <w:tcPr>
            <w:tcW w:w="961" w:type="dxa"/>
            <w:tcBorders>
              <w:top w:val="nil"/>
              <w:left w:val="nil"/>
              <w:bottom w:val="single" w:sz="8" w:space="0" w:color="auto"/>
              <w:right w:val="single" w:sz="8" w:space="0" w:color="auto"/>
            </w:tcBorders>
            <w:shd w:val="clear" w:color="auto" w:fill="auto"/>
            <w:noWrap/>
            <w:vAlign w:val="center"/>
            <w:hideMark/>
          </w:tcPr>
          <w:p w14:paraId="6813B7F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-26,3%</w:t>
            </w:r>
          </w:p>
        </w:tc>
        <w:tc>
          <w:tcPr>
            <w:tcW w:w="1168" w:type="dxa"/>
            <w:tcBorders>
              <w:top w:val="nil"/>
              <w:left w:val="nil"/>
              <w:bottom w:val="single" w:sz="8" w:space="0" w:color="auto"/>
              <w:right w:val="single" w:sz="8" w:space="0" w:color="auto"/>
            </w:tcBorders>
            <w:shd w:val="clear" w:color="auto" w:fill="auto"/>
            <w:noWrap/>
            <w:vAlign w:val="center"/>
            <w:hideMark/>
          </w:tcPr>
          <w:p w14:paraId="5785B0E9"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-480</w:t>
            </w:r>
          </w:p>
        </w:tc>
        <w:tc>
          <w:tcPr>
            <w:tcW w:w="1277" w:type="dxa"/>
            <w:tcBorders>
              <w:top w:val="nil"/>
              <w:left w:val="nil"/>
              <w:bottom w:val="single" w:sz="8" w:space="0" w:color="auto"/>
              <w:right w:val="single" w:sz="8" w:space="0" w:color="auto"/>
            </w:tcBorders>
            <w:shd w:val="clear" w:color="auto" w:fill="auto"/>
            <w:noWrap/>
            <w:vAlign w:val="center"/>
            <w:hideMark/>
          </w:tcPr>
          <w:p w14:paraId="3EE0B23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-15,6%</w:t>
            </w:r>
          </w:p>
        </w:tc>
      </w:tr>
      <w:tr w:rsidR="00394C7E" w:rsidRPr="006148E8" w14:paraId="283AFBE3" w14:textId="77777777" w:rsidTr="001763DB">
        <w:trPr>
          <w:trHeight w:val="218"/>
        </w:trPr>
        <w:tc>
          <w:tcPr>
            <w:tcW w:w="5376" w:type="dxa"/>
            <w:tcBorders>
              <w:top w:val="nil"/>
              <w:left w:val="single" w:sz="8" w:space="0" w:color="auto"/>
              <w:bottom w:val="single" w:sz="8" w:space="0" w:color="auto"/>
              <w:right w:val="single" w:sz="8" w:space="0" w:color="auto"/>
            </w:tcBorders>
            <w:shd w:val="clear" w:color="auto" w:fill="auto"/>
            <w:vAlign w:val="bottom"/>
            <w:hideMark/>
          </w:tcPr>
          <w:p w14:paraId="41C56583"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Bar</w:t>
            </w:r>
          </w:p>
        </w:tc>
        <w:tc>
          <w:tcPr>
            <w:tcW w:w="878" w:type="dxa"/>
            <w:tcBorders>
              <w:top w:val="nil"/>
              <w:left w:val="nil"/>
              <w:bottom w:val="single" w:sz="8" w:space="0" w:color="auto"/>
              <w:right w:val="single" w:sz="8" w:space="0" w:color="auto"/>
            </w:tcBorders>
            <w:shd w:val="clear" w:color="auto" w:fill="auto"/>
            <w:noWrap/>
            <w:vAlign w:val="center"/>
            <w:hideMark/>
          </w:tcPr>
          <w:p w14:paraId="4CD43BF0"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-2.606</w:t>
            </w:r>
          </w:p>
        </w:tc>
        <w:tc>
          <w:tcPr>
            <w:tcW w:w="961" w:type="dxa"/>
            <w:tcBorders>
              <w:top w:val="nil"/>
              <w:left w:val="nil"/>
              <w:bottom w:val="single" w:sz="8" w:space="0" w:color="auto"/>
              <w:right w:val="single" w:sz="8" w:space="0" w:color="auto"/>
            </w:tcBorders>
            <w:shd w:val="clear" w:color="auto" w:fill="auto"/>
            <w:noWrap/>
            <w:vAlign w:val="center"/>
            <w:hideMark/>
          </w:tcPr>
          <w:p w14:paraId="050C4EDE"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-7,6%</w:t>
            </w:r>
          </w:p>
        </w:tc>
        <w:tc>
          <w:tcPr>
            <w:tcW w:w="1168" w:type="dxa"/>
            <w:tcBorders>
              <w:top w:val="nil"/>
              <w:left w:val="nil"/>
              <w:bottom w:val="single" w:sz="8" w:space="0" w:color="auto"/>
              <w:right w:val="single" w:sz="8" w:space="0" w:color="auto"/>
            </w:tcBorders>
            <w:shd w:val="clear" w:color="auto" w:fill="auto"/>
            <w:noWrap/>
            <w:vAlign w:val="center"/>
            <w:hideMark/>
          </w:tcPr>
          <w:p w14:paraId="443A449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-3.237</w:t>
            </w:r>
          </w:p>
        </w:tc>
        <w:tc>
          <w:tcPr>
            <w:tcW w:w="1277" w:type="dxa"/>
            <w:tcBorders>
              <w:top w:val="nil"/>
              <w:left w:val="nil"/>
              <w:bottom w:val="single" w:sz="8" w:space="0" w:color="auto"/>
              <w:right w:val="single" w:sz="8" w:space="0" w:color="auto"/>
            </w:tcBorders>
            <w:shd w:val="clear" w:color="auto" w:fill="auto"/>
            <w:noWrap/>
            <w:vAlign w:val="center"/>
            <w:hideMark/>
          </w:tcPr>
          <w:p w14:paraId="0A66E3BA"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-9,3%</w:t>
            </w:r>
          </w:p>
        </w:tc>
      </w:tr>
      <w:tr w:rsidR="00394C7E" w:rsidRPr="006148E8" w14:paraId="7BAAE639" w14:textId="77777777" w:rsidTr="001763DB">
        <w:trPr>
          <w:trHeight w:val="218"/>
        </w:trPr>
        <w:tc>
          <w:tcPr>
            <w:tcW w:w="5376" w:type="dxa"/>
            <w:tcBorders>
              <w:top w:val="nil"/>
              <w:left w:val="single" w:sz="8" w:space="0" w:color="auto"/>
              <w:bottom w:val="single" w:sz="8" w:space="0" w:color="auto"/>
              <w:right w:val="single" w:sz="8" w:space="0" w:color="auto"/>
            </w:tcBorders>
            <w:shd w:val="clear" w:color="auto" w:fill="auto"/>
            <w:vAlign w:val="bottom"/>
            <w:hideMark/>
          </w:tcPr>
          <w:p w14:paraId="79DDF878"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Saloni di barbiere e parrucchiere</w:t>
            </w:r>
          </w:p>
        </w:tc>
        <w:tc>
          <w:tcPr>
            <w:tcW w:w="878" w:type="dxa"/>
            <w:tcBorders>
              <w:top w:val="nil"/>
              <w:left w:val="nil"/>
              <w:bottom w:val="single" w:sz="8" w:space="0" w:color="auto"/>
              <w:right w:val="single" w:sz="8" w:space="0" w:color="auto"/>
            </w:tcBorders>
            <w:shd w:val="clear" w:color="auto" w:fill="auto"/>
            <w:noWrap/>
            <w:vAlign w:val="center"/>
            <w:hideMark/>
          </w:tcPr>
          <w:p w14:paraId="53921EF6"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591</w:t>
            </w:r>
          </w:p>
        </w:tc>
        <w:tc>
          <w:tcPr>
            <w:tcW w:w="961" w:type="dxa"/>
            <w:tcBorders>
              <w:top w:val="nil"/>
              <w:left w:val="nil"/>
              <w:bottom w:val="single" w:sz="8" w:space="0" w:color="auto"/>
              <w:right w:val="single" w:sz="8" w:space="0" w:color="auto"/>
            </w:tcBorders>
            <w:shd w:val="clear" w:color="auto" w:fill="auto"/>
            <w:noWrap/>
            <w:vAlign w:val="center"/>
            <w:hideMark/>
          </w:tcPr>
          <w:p w14:paraId="27BA9783"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2,8%</w:t>
            </w:r>
          </w:p>
        </w:tc>
        <w:tc>
          <w:tcPr>
            <w:tcW w:w="1168" w:type="dxa"/>
            <w:tcBorders>
              <w:top w:val="nil"/>
              <w:left w:val="nil"/>
              <w:bottom w:val="single" w:sz="8" w:space="0" w:color="auto"/>
              <w:right w:val="single" w:sz="8" w:space="0" w:color="auto"/>
            </w:tcBorders>
            <w:shd w:val="clear" w:color="auto" w:fill="auto"/>
            <w:noWrap/>
            <w:vAlign w:val="center"/>
            <w:hideMark/>
          </w:tcPr>
          <w:p w14:paraId="3C5355C1"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-44</w:t>
            </w:r>
          </w:p>
        </w:tc>
        <w:tc>
          <w:tcPr>
            <w:tcW w:w="1277" w:type="dxa"/>
            <w:tcBorders>
              <w:top w:val="nil"/>
              <w:left w:val="nil"/>
              <w:bottom w:val="single" w:sz="8" w:space="0" w:color="auto"/>
              <w:right w:val="single" w:sz="8" w:space="0" w:color="auto"/>
            </w:tcBorders>
            <w:shd w:val="clear" w:color="auto" w:fill="auto"/>
            <w:noWrap/>
            <w:vAlign w:val="center"/>
            <w:hideMark/>
          </w:tcPr>
          <w:p w14:paraId="640DACCB"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color w:val="000000" w:themeColor="text1"/>
                <w:lang w:eastAsia="it-IT"/>
              </w:rPr>
              <w:t>-0,2%</w:t>
            </w:r>
          </w:p>
        </w:tc>
      </w:tr>
      <w:tr w:rsidR="00394C7E" w:rsidRPr="006148E8" w14:paraId="3AB4EEFB" w14:textId="77777777" w:rsidTr="001763DB">
        <w:trPr>
          <w:trHeight w:val="218"/>
        </w:trPr>
        <w:tc>
          <w:tcPr>
            <w:tcW w:w="5376" w:type="dxa"/>
            <w:tcBorders>
              <w:top w:val="nil"/>
              <w:left w:val="single" w:sz="8" w:space="0" w:color="auto"/>
              <w:bottom w:val="single" w:sz="8" w:space="0" w:color="auto"/>
              <w:right w:val="single" w:sz="8" w:space="0" w:color="auto"/>
            </w:tcBorders>
            <w:shd w:val="clear" w:color="auto" w:fill="auto"/>
            <w:noWrap/>
            <w:vAlign w:val="bottom"/>
            <w:hideMark/>
          </w:tcPr>
          <w:p w14:paraId="664F09EC" w14:textId="77777777" w:rsidR="0086262D" w:rsidRPr="006148E8" w:rsidRDefault="0086262D" w:rsidP="006148E8">
            <w:pPr>
              <w:jc w:val="both"/>
              <w:rPr>
                <w:rFonts w:eastAsia="Times New Roman" w:cstheme="majorHAnsi"/>
                <w:color w:val="000000" w:themeColor="text1"/>
                <w:lang w:eastAsia="it-IT"/>
              </w:rPr>
            </w:pPr>
            <w:r w:rsidRPr="006148E8">
              <w:rPr>
                <w:rFonts w:eastAsia="Times New Roman" w:cstheme="majorHAnsi"/>
                <w:b/>
                <w:bCs/>
                <w:color w:val="000000" w:themeColor="text1"/>
                <w:lang w:eastAsia="it-IT"/>
              </w:rPr>
              <w:t>Totale</w:t>
            </w:r>
          </w:p>
        </w:tc>
        <w:tc>
          <w:tcPr>
            <w:tcW w:w="878" w:type="dxa"/>
            <w:tcBorders>
              <w:top w:val="nil"/>
              <w:left w:val="nil"/>
              <w:bottom w:val="single" w:sz="8" w:space="0" w:color="auto"/>
              <w:right w:val="single" w:sz="8" w:space="0" w:color="auto"/>
            </w:tcBorders>
            <w:shd w:val="clear" w:color="auto" w:fill="auto"/>
            <w:noWrap/>
            <w:vAlign w:val="center"/>
            <w:hideMark/>
          </w:tcPr>
          <w:p w14:paraId="013C8E43" w14:textId="77777777" w:rsidR="0086262D" w:rsidRPr="006148E8" w:rsidRDefault="0086262D" w:rsidP="006148E8">
            <w:pPr>
              <w:jc w:val="both"/>
              <w:rPr>
                <w:rFonts w:eastAsia="Times New Roman" w:cstheme="majorHAnsi"/>
                <w:b/>
                <w:bCs/>
                <w:color w:val="000000" w:themeColor="text1"/>
                <w:lang w:eastAsia="it-IT"/>
              </w:rPr>
            </w:pPr>
            <w:r w:rsidRPr="006148E8">
              <w:rPr>
                <w:rFonts w:eastAsia="Times New Roman" w:cstheme="majorHAnsi"/>
                <w:b/>
                <w:bCs/>
                <w:color w:val="000000" w:themeColor="text1"/>
                <w:lang w:eastAsia="it-IT"/>
              </w:rPr>
              <w:t>-7.601</w:t>
            </w:r>
          </w:p>
        </w:tc>
        <w:tc>
          <w:tcPr>
            <w:tcW w:w="961" w:type="dxa"/>
            <w:tcBorders>
              <w:top w:val="nil"/>
              <w:left w:val="nil"/>
              <w:bottom w:val="single" w:sz="8" w:space="0" w:color="auto"/>
              <w:right w:val="single" w:sz="8" w:space="0" w:color="auto"/>
            </w:tcBorders>
            <w:shd w:val="clear" w:color="auto" w:fill="auto"/>
            <w:noWrap/>
            <w:vAlign w:val="center"/>
            <w:hideMark/>
          </w:tcPr>
          <w:p w14:paraId="0B2A468F" w14:textId="77777777" w:rsidR="0086262D" w:rsidRPr="006148E8" w:rsidRDefault="0086262D" w:rsidP="006148E8">
            <w:pPr>
              <w:jc w:val="both"/>
              <w:rPr>
                <w:rFonts w:eastAsia="Times New Roman" w:cstheme="majorHAnsi"/>
                <w:b/>
                <w:bCs/>
                <w:color w:val="000000" w:themeColor="text1"/>
                <w:lang w:eastAsia="it-IT"/>
              </w:rPr>
            </w:pPr>
            <w:r w:rsidRPr="006148E8">
              <w:rPr>
                <w:rFonts w:eastAsia="Times New Roman" w:cstheme="majorHAnsi"/>
                <w:b/>
                <w:bCs/>
                <w:color w:val="000000" w:themeColor="text1"/>
                <w:lang w:eastAsia="it-IT"/>
              </w:rPr>
              <w:t>-6,4%</w:t>
            </w:r>
          </w:p>
        </w:tc>
        <w:tc>
          <w:tcPr>
            <w:tcW w:w="1168" w:type="dxa"/>
            <w:tcBorders>
              <w:top w:val="nil"/>
              <w:left w:val="nil"/>
              <w:bottom w:val="single" w:sz="8" w:space="0" w:color="auto"/>
              <w:right w:val="single" w:sz="8" w:space="0" w:color="auto"/>
            </w:tcBorders>
            <w:shd w:val="clear" w:color="auto" w:fill="auto"/>
            <w:noWrap/>
            <w:vAlign w:val="center"/>
            <w:hideMark/>
          </w:tcPr>
          <w:p w14:paraId="6FE1817D" w14:textId="77777777" w:rsidR="0086262D" w:rsidRPr="006148E8" w:rsidRDefault="0086262D" w:rsidP="006148E8">
            <w:pPr>
              <w:jc w:val="both"/>
              <w:rPr>
                <w:rFonts w:eastAsia="Times New Roman" w:cstheme="majorHAnsi"/>
                <w:b/>
                <w:bCs/>
                <w:color w:val="000000" w:themeColor="text1"/>
                <w:lang w:eastAsia="it-IT"/>
              </w:rPr>
            </w:pPr>
            <w:r w:rsidRPr="006148E8">
              <w:rPr>
                <w:rFonts w:eastAsia="Times New Roman" w:cstheme="majorHAnsi"/>
                <w:b/>
                <w:bCs/>
                <w:color w:val="000000" w:themeColor="text1"/>
                <w:lang w:eastAsia="it-IT"/>
              </w:rPr>
              <w:t>-7.896</w:t>
            </w:r>
          </w:p>
        </w:tc>
        <w:tc>
          <w:tcPr>
            <w:tcW w:w="1277" w:type="dxa"/>
            <w:tcBorders>
              <w:top w:val="nil"/>
              <w:left w:val="nil"/>
              <w:bottom w:val="single" w:sz="8" w:space="0" w:color="auto"/>
              <w:right w:val="single" w:sz="8" w:space="0" w:color="auto"/>
            </w:tcBorders>
            <w:shd w:val="clear" w:color="auto" w:fill="auto"/>
            <w:noWrap/>
            <w:vAlign w:val="center"/>
            <w:hideMark/>
          </w:tcPr>
          <w:p w14:paraId="39317DD4" w14:textId="77777777" w:rsidR="0086262D" w:rsidRPr="006148E8" w:rsidRDefault="0086262D" w:rsidP="006148E8">
            <w:pPr>
              <w:jc w:val="both"/>
              <w:rPr>
                <w:rFonts w:eastAsia="Times New Roman" w:cstheme="majorHAnsi"/>
                <w:b/>
                <w:bCs/>
                <w:color w:val="000000" w:themeColor="text1"/>
                <w:lang w:eastAsia="it-IT"/>
              </w:rPr>
            </w:pPr>
            <w:r w:rsidRPr="006148E8">
              <w:rPr>
                <w:rFonts w:eastAsia="Times New Roman" w:cstheme="majorHAnsi"/>
                <w:b/>
                <w:bCs/>
                <w:color w:val="000000" w:themeColor="text1"/>
                <w:lang w:eastAsia="it-IT"/>
              </w:rPr>
              <w:t>-6,6%</w:t>
            </w:r>
          </w:p>
        </w:tc>
      </w:tr>
    </w:tbl>
    <w:p w14:paraId="4A40D92B" w14:textId="77777777" w:rsidR="0086262D" w:rsidRPr="006148E8" w:rsidRDefault="0086262D" w:rsidP="006148E8">
      <w:pPr>
        <w:spacing w:after="120" w:line="276" w:lineRule="auto"/>
        <w:jc w:val="both"/>
        <w:rPr>
          <w:rFonts w:cstheme="majorHAnsi"/>
          <w:color w:val="000000" w:themeColor="text1"/>
        </w:rPr>
      </w:pPr>
    </w:p>
    <w:p w14:paraId="1EB40DC6" w14:textId="77777777" w:rsidR="006148E8" w:rsidRDefault="006148E8" w:rsidP="006148E8">
      <w:pPr>
        <w:spacing w:after="120" w:line="276" w:lineRule="auto"/>
        <w:jc w:val="both"/>
        <w:rPr>
          <w:rFonts w:cstheme="majorHAnsi"/>
          <w:b/>
          <w:bCs/>
        </w:rPr>
      </w:pPr>
      <w:r w:rsidRPr="006148E8">
        <w:rPr>
          <w:rFonts w:cstheme="majorHAnsi"/>
          <w:b/>
          <w:bCs/>
        </w:rPr>
        <w:t xml:space="preserve">I grandi comuni. </w:t>
      </w:r>
      <w:r w:rsidRPr="006148E8">
        <w:rPr>
          <w:rFonts w:cstheme="majorHAnsi"/>
        </w:rPr>
        <w:t xml:space="preserve">Nelle grandi città sopra i 250mila abitanti – che in Italia sono 12, tra cui le grandi metropoli di Roma e Milano - l’incidenza della desertificazione, nei numeri, torna sui livelli dei comuni medio piccoli: le imprese da noi considerate, nel 2024, sono 95.696, -6.207 (o il -6,1%) sul 2014. </w:t>
      </w:r>
    </w:p>
    <w:p w14:paraId="756E6EC0" w14:textId="28D21673" w:rsidR="006148E8" w:rsidRPr="006148E8" w:rsidRDefault="006148E8" w:rsidP="006148E8">
      <w:pPr>
        <w:spacing w:after="120" w:line="276" w:lineRule="auto"/>
        <w:jc w:val="both"/>
        <w:rPr>
          <w:rFonts w:cstheme="majorHAnsi"/>
          <w:b/>
          <w:bCs/>
        </w:rPr>
      </w:pPr>
      <w:r w:rsidRPr="006148E8">
        <w:rPr>
          <w:rFonts w:cstheme="majorHAnsi"/>
        </w:rPr>
        <w:t xml:space="preserve">Anche in questo caso, la quasi totalità delle tipologie esaminate registra un calo della numerosità delle imprese rispetto a dieci anni fa. Diminuiscono, rispetto al 2014, le imprese del commercio al dettaglio di prodotti moda (-271), distributori carburanti (-688), negozi di elettrodomestici (-930), edicole (-1.302), librerie (-222), Ferramenta (-850), bevande (-18), panetterie (-183), pescherie (-18), macellerie (-840), mentre rimangono sostanzialmente stabili i negozi di ortofrutta (-2), </w:t>
      </w:r>
      <w:r w:rsidRPr="006148E8">
        <w:rPr>
          <w:rFonts w:cstheme="majorHAnsi"/>
          <w:color w:val="000000" w:themeColor="text1"/>
        </w:rPr>
        <w:t>grazie anche all’apporto dell’imprenditoria straniera: le imprese del commercio di ortofrutta guidate da un titolare non italiano quasi raddoppiano la propria presenza nei grandi comuni, passando da 684 a 1.138.</w:t>
      </w:r>
    </w:p>
    <w:p w14:paraId="289BBE34" w14:textId="77777777" w:rsidR="006148E8" w:rsidRPr="006148E8" w:rsidRDefault="006148E8" w:rsidP="006148E8">
      <w:pPr>
        <w:spacing w:after="120" w:line="276" w:lineRule="auto"/>
        <w:jc w:val="both"/>
        <w:rPr>
          <w:rFonts w:cstheme="majorHAnsi"/>
        </w:rPr>
      </w:pPr>
      <w:r w:rsidRPr="006148E8">
        <w:rPr>
          <w:rFonts w:cstheme="majorHAnsi"/>
        </w:rPr>
        <w:t>Inn crescita, invece, forni (+52 imprese dal 2014), empori (+119), rivenditori di generi di monopolio (+160), e soprattutto i minimercati. Un dato fortemente controtendenza: nei grandi comuni aumentano di 1.169 unità in dieci anni, a fronte di un calo pronunciato sia nei comuni medi che in quelli piccoli. A dare la spinta sono,</w:t>
      </w:r>
      <w:r w:rsidRPr="006148E8">
        <w:rPr>
          <w:rFonts w:cstheme="majorHAnsi"/>
          <w:color w:val="FF0000"/>
        </w:rPr>
        <w:t xml:space="preserve"> </w:t>
      </w:r>
      <w:r w:rsidRPr="006148E8">
        <w:rPr>
          <w:rFonts w:cstheme="majorHAnsi"/>
          <w:color w:val="000000" w:themeColor="text1"/>
        </w:rPr>
        <w:t>anche in questo caso,</w:t>
      </w:r>
      <w:r w:rsidRPr="006148E8">
        <w:rPr>
          <w:rFonts w:cstheme="majorHAnsi"/>
        </w:rPr>
        <w:t xml:space="preserve"> gli imprenditori stranieri: su 9.534 imprese di minimarket registrate nelle grandi città, quasi la metà (4.656 attività) ha un titolare di nazionalità straniera, proveniente soprattutto dal subcontinente indiano (India, Pakistan, Bangladesh).</w:t>
      </w:r>
    </w:p>
    <w:p w14:paraId="79DC8D81" w14:textId="77777777" w:rsidR="006148E8" w:rsidRPr="006148E8" w:rsidRDefault="006148E8" w:rsidP="006148E8">
      <w:pPr>
        <w:jc w:val="both"/>
        <w:rPr>
          <w:rFonts w:cstheme="majorHAnsi"/>
        </w:rPr>
      </w:pPr>
    </w:p>
    <w:tbl>
      <w:tblPr>
        <w:tblW w:w="9512" w:type="dxa"/>
        <w:tblCellMar>
          <w:left w:w="70" w:type="dxa"/>
          <w:right w:w="70" w:type="dxa"/>
        </w:tblCellMar>
        <w:tblLook w:val="04A0" w:firstRow="1" w:lastRow="0" w:firstColumn="1" w:lastColumn="0" w:noHBand="0" w:noVBand="1"/>
      </w:tblPr>
      <w:tblGrid>
        <w:gridCol w:w="5686"/>
        <w:gridCol w:w="930"/>
        <w:gridCol w:w="1015"/>
        <w:gridCol w:w="899"/>
        <w:gridCol w:w="982"/>
      </w:tblGrid>
      <w:tr w:rsidR="006148E8" w:rsidRPr="006148E8" w14:paraId="0A04D476" w14:textId="77777777" w:rsidTr="006148E8">
        <w:trPr>
          <w:trHeight w:val="268"/>
        </w:trPr>
        <w:tc>
          <w:tcPr>
            <w:tcW w:w="5686" w:type="dxa"/>
            <w:tcBorders>
              <w:top w:val="single" w:sz="4" w:space="0" w:color="auto"/>
              <w:left w:val="single" w:sz="4" w:space="0" w:color="auto"/>
              <w:bottom w:val="single" w:sz="4" w:space="0" w:color="auto"/>
              <w:right w:val="single" w:sz="4" w:space="0" w:color="auto"/>
            </w:tcBorders>
            <w:shd w:val="clear" w:color="auto" w:fill="84E290" w:themeFill="accent3" w:themeFillTint="66"/>
            <w:noWrap/>
            <w:vAlign w:val="bottom"/>
            <w:hideMark/>
          </w:tcPr>
          <w:p w14:paraId="1D2D8C0C" w14:textId="77777777" w:rsidR="006148E8" w:rsidRPr="006148E8" w:rsidRDefault="006148E8" w:rsidP="006148E8">
            <w:pPr>
              <w:rPr>
                <w:rFonts w:eastAsia="Times New Roman" w:cstheme="majorHAnsi"/>
                <w:color w:val="000000"/>
                <w:lang w:eastAsia="it-IT"/>
              </w:rPr>
            </w:pPr>
            <w:r w:rsidRPr="006148E8">
              <w:rPr>
                <w:rFonts w:eastAsia="Times New Roman" w:cstheme="majorHAnsi"/>
                <w:color w:val="000000"/>
                <w:lang w:eastAsia="it-IT"/>
              </w:rPr>
              <w:t>Comuni oltre i 250 mila abitanti</w:t>
            </w:r>
          </w:p>
        </w:tc>
        <w:tc>
          <w:tcPr>
            <w:tcW w:w="1945" w:type="dxa"/>
            <w:gridSpan w:val="2"/>
            <w:tcBorders>
              <w:top w:val="single" w:sz="4" w:space="0" w:color="auto"/>
              <w:left w:val="nil"/>
              <w:bottom w:val="single" w:sz="4" w:space="0" w:color="auto"/>
              <w:right w:val="single" w:sz="4" w:space="0" w:color="auto"/>
            </w:tcBorders>
            <w:shd w:val="clear" w:color="auto" w:fill="84E290" w:themeFill="accent3" w:themeFillTint="66"/>
            <w:noWrap/>
            <w:vAlign w:val="bottom"/>
            <w:hideMark/>
          </w:tcPr>
          <w:p w14:paraId="77625756" w14:textId="77777777" w:rsidR="006148E8" w:rsidRPr="006148E8" w:rsidRDefault="006148E8" w:rsidP="006148E8">
            <w:pPr>
              <w:jc w:val="center"/>
              <w:rPr>
                <w:rFonts w:eastAsia="Times New Roman" w:cstheme="majorHAnsi"/>
                <w:color w:val="000000"/>
                <w:lang w:eastAsia="it-IT"/>
              </w:rPr>
            </w:pPr>
            <w:r w:rsidRPr="006148E8">
              <w:rPr>
                <w:rFonts w:eastAsia="Times New Roman" w:cstheme="majorHAnsi"/>
                <w:color w:val="000000"/>
                <w:lang w:eastAsia="it-IT"/>
              </w:rPr>
              <w:t>2024/2014</w:t>
            </w:r>
          </w:p>
        </w:tc>
        <w:tc>
          <w:tcPr>
            <w:tcW w:w="1881" w:type="dxa"/>
            <w:gridSpan w:val="2"/>
            <w:tcBorders>
              <w:top w:val="single" w:sz="4" w:space="0" w:color="auto"/>
              <w:left w:val="nil"/>
              <w:bottom w:val="single" w:sz="4" w:space="0" w:color="auto"/>
              <w:right w:val="single" w:sz="4" w:space="0" w:color="auto"/>
            </w:tcBorders>
            <w:shd w:val="clear" w:color="auto" w:fill="84E290" w:themeFill="accent3" w:themeFillTint="66"/>
            <w:noWrap/>
            <w:vAlign w:val="bottom"/>
            <w:hideMark/>
          </w:tcPr>
          <w:p w14:paraId="12BD7A2D" w14:textId="77777777" w:rsidR="006148E8" w:rsidRPr="006148E8" w:rsidRDefault="006148E8" w:rsidP="006148E8">
            <w:pPr>
              <w:jc w:val="center"/>
              <w:rPr>
                <w:rFonts w:eastAsia="Times New Roman" w:cstheme="majorHAnsi"/>
                <w:color w:val="000000"/>
                <w:lang w:eastAsia="it-IT"/>
              </w:rPr>
            </w:pPr>
            <w:r w:rsidRPr="006148E8">
              <w:rPr>
                <w:rFonts w:eastAsia="Times New Roman" w:cstheme="majorHAnsi"/>
                <w:color w:val="000000"/>
                <w:lang w:eastAsia="it-IT"/>
              </w:rPr>
              <w:t>2024/2019</w:t>
            </w:r>
          </w:p>
        </w:tc>
      </w:tr>
      <w:tr w:rsidR="006148E8" w:rsidRPr="006148E8" w14:paraId="254F8A58" w14:textId="77777777" w:rsidTr="006148E8">
        <w:trPr>
          <w:trHeight w:val="268"/>
        </w:trPr>
        <w:tc>
          <w:tcPr>
            <w:tcW w:w="5686" w:type="dxa"/>
            <w:tcBorders>
              <w:top w:val="nil"/>
              <w:left w:val="single" w:sz="4" w:space="0" w:color="auto"/>
              <w:bottom w:val="single" w:sz="4" w:space="0" w:color="auto"/>
              <w:right w:val="single" w:sz="4" w:space="0" w:color="auto"/>
            </w:tcBorders>
            <w:shd w:val="clear" w:color="auto" w:fill="auto"/>
            <w:vAlign w:val="bottom"/>
            <w:hideMark/>
          </w:tcPr>
          <w:p w14:paraId="76576A9C" w14:textId="77777777" w:rsidR="006148E8" w:rsidRPr="006148E8" w:rsidRDefault="006148E8" w:rsidP="006148E8">
            <w:pPr>
              <w:rPr>
                <w:rFonts w:eastAsia="Times New Roman" w:cstheme="majorHAnsi"/>
                <w:color w:val="000000"/>
                <w:lang w:eastAsia="it-IT"/>
              </w:rPr>
            </w:pPr>
            <w:r w:rsidRPr="006148E8">
              <w:rPr>
                <w:rFonts w:eastAsia="Times New Roman" w:cstheme="majorHAnsi"/>
                <w:color w:val="000000"/>
                <w:lang w:eastAsia="it-IT"/>
              </w:rPr>
              <w:t>Forni</w:t>
            </w:r>
          </w:p>
        </w:tc>
        <w:tc>
          <w:tcPr>
            <w:tcW w:w="930" w:type="dxa"/>
            <w:tcBorders>
              <w:top w:val="nil"/>
              <w:left w:val="nil"/>
              <w:bottom w:val="single" w:sz="4" w:space="0" w:color="auto"/>
              <w:right w:val="single" w:sz="4" w:space="0" w:color="auto"/>
            </w:tcBorders>
            <w:shd w:val="clear" w:color="auto" w:fill="auto"/>
            <w:noWrap/>
            <w:vAlign w:val="bottom"/>
            <w:hideMark/>
          </w:tcPr>
          <w:p w14:paraId="12A1E846"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52 </w:t>
            </w:r>
          </w:p>
        </w:tc>
        <w:tc>
          <w:tcPr>
            <w:tcW w:w="1014" w:type="dxa"/>
            <w:tcBorders>
              <w:top w:val="nil"/>
              <w:left w:val="nil"/>
              <w:bottom w:val="single" w:sz="4" w:space="0" w:color="auto"/>
              <w:right w:val="single" w:sz="4" w:space="0" w:color="auto"/>
            </w:tcBorders>
            <w:shd w:val="clear" w:color="auto" w:fill="auto"/>
            <w:noWrap/>
            <w:vAlign w:val="bottom"/>
            <w:hideMark/>
          </w:tcPr>
          <w:p w14:paraId="685873CF"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1,4%</w:t>
            </w:r>
          </w:p>
        </w:tc>
        <w:tc>
          <w:tcPr>
            <w:tcW w:w="899" w:type="dxa"/>
            <w:tcBorders>
              <w:top w:val="nil"/>
              <w:left w:val="nil"/>
              <w:bottom w:val="single" w:sz="4" w:space="0" w:color="auto"/>
              <w:right w:val="single" w:sz="4" w:space="0" w:color="auto"/>
            </w:tcBorders>
            <w:shd w:val="clear" w:color="auto" w:fill="auto"/>
            <w:noWrap/>
            <w:vAlign w:val="bottom"/>
            <w:hideMark/>
          </w:tcPr>
          <w:p w14:paraId="245FB6C0"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-134 </w:t>
            </w:r>
          </w:p>
        </w:tc>
        <w:tc>
          <w:tcPr>
            <w:tcW w:w="981" w:type="dxa"/>
            <w:tcBorders>
              <w:top w:val="nil"/>
              <w:left w:val="nil"/>
              <w:bottom w:val="single" w:sz="4" w:space="0" w:color="auto"/>
              <w:right w:val="single" w:sz="4" w:space="0" w:color="auto"/>
            </w:tcBorders>
            <w:shd w:val="clear" w:color="auto" w:fill="auto"/>
            <w:noWrap/>
            <w:vAlign w:val="bottom"/>
            <w:hideMark/>
          </w:tcPr>
          <w:p w14:paraId="06F2A278"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-3,5%</w:t>
            </w:r>
          </w:p>
        </w:tc>
      </w:tr>
      <w:tr w:rsidR="006148E8" w:rsidRPr="006148E8" w14:paraId="2AB0CDA1" w14:textId="77777777" w:rsidTr="006148E8">
        <w:trPr>
          <w:trHeight w:val="102"/>
        </w:trPr>
        <w:tc>
          <w:tcPr>
            <w:tcW w:w="5686" w:type="dxa"/>
            <w:tcBorders>
              <w:top w:val="nil"/>
              <w:left w:val="single" w:sz="4" w:space="0" w:color="auto"/>
              <w:bottom w:val="single" w:sz="4" w:space="0" w:color="auto"/>
              <w:right w:val="single" w:sz="4" w:space="0" w:color="auto"/>
            </w:tcBorders>
            <w:shd w:val="clear" w:color="auto" w:fill="auto"/>
            <w:vAlign w:val="bottom"/>
            <w:hideMark/>
          </w:tcPr>
          <w:p w14:paraId="777B2702" w14:textId="77777777" w:rsidR="006148E8" w:rsidRPr="006148E8" w:rsidRDefault="006148E8" w:rsidP="006148E8">
            <w:pPr>
              <w:rPr>
                <w:rFonts w:eastAsia="Times New Roman" w:cstheme="majorHAnsi"/>
                <w:color w:val="000000"/>
                <w:lang w:eastAsia="it-IT"/>
              </w:rPr>
            </w:pPr>
            <w:r w:rsidRPr="006148E8">
              <w:rPr>
                <w:rFonts w:cstheme="majorHAnsi"/>
              </w:rPr>
              <w:t>Minimercati</w:t>
            </w:r>
          </w:p>
        </w:tc>
        <w:tc>
          <w:tcPr>
            <w:tcW w:w="930" w:type="dxa"/>
            <w:tcBorders>
              <w:top w:val="nil"/>
              <w:left w:val="nil"/>
              <w:bottom w:val="single" w:sz="4" w:space="0" w:color="auto"/>
              <w:right w:val="single" w:sz="4" w:space="0" w:color="auto"/>
            </w:tcBorders>
            <w:shd w:val="clear" w:color="auto" w:fill="auto"/>
            <w:noWrap/>
            <w:vAlign w:val="bottom"/>
            <w:hideMark/>
          </w:tcPr>
          <w:p w14:paraId="4A947E26"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1.169 </w:t>
            </w:r>
          </w:p>
        </w:tc>
        <w:tc>
          <w:tcPr>
            <w:tcW w:w="1014" w:type="dxa"/>
            <w:tcBorders>
              <w:top w:val="nil"/>
              <w:left w:val="nil"/>
              <w:bottom w:val="single" w:sz="4" w:space="0" w:color="auto"/>
              <w:right w:val="single" w:sz="4" w:space="0" w:color="auto"/>
            </w:tcBorders>
            <w:shd w:val="clear" w:color="auto" w:fill="auto"/>
            <w:noWrap/>
            <w:vAlign w:val="bottom"/>
            <w:hideMark/>
          </w:tcPr>
          <w:p w14:paraId="3DB84C66"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14,0%</w:t>
            </w:r>
          </w:p>
        </w:tc>
        <w:tc>
          <w:tcPr>
            <w:tcW w:w="899" w:type="dxa"/>
            <w:tcBorders>
              <w:top w:val="nil"/>
              <w:left w:val="nil"/>
              <w:bottom w:val="single" w:sz="4" w:space="0" w:color="auto"/>
              <w:right w:val="single" w:sz="4" w:space="0" w:color="auto"/>
            </w:tcBorders>
            <w:shd w:val="clear" w:color="auto" w:fill="auto"/>
            <w:noWrap/>
            <w:vAlign w:val="bottom"/>
            <w:hideMark/>
          </w:tcPr>
          <w:p w14:paraId="6257C1AA"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247 </w:t>
            </w:r>
          </w:p>
        </w:tc>
        <w:tc>
          <w:tcPr>
            <w:tcW w:w="981" w:type="dxa"/>
            <w:tcBorders>
              <w:top w:val="nil"/>
              <w:left w:val="nil"/>
              <w:bottom w:val="single" w:sz="4" w:space="0" w:color="auto"/>
              <w:right w:val="single" w:sz="4" w:space="0" w:color="auto"/>
            </w:tcBorders>
            <w:shd w:val="clear" w:color="auto" w:fill="auto"/>
            <w:noWrap/>
            <w:vAlign w:val="bottom"/>
            <w:hideMark/>
          </w:tcPr>
          <w:p w14:paraId="5BAD8414"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2,7%</w:t>
            </w:r>
          </w:p>
        </w:tc>
      </w:tr>
      <w:tr w:rsidR="006148E8" w:rsidRPr="006148E8" w14:paraId="5C9BAADA" w14:textId="77777777" w:rsidTr="006148E8">
        <w:trPr>
          <w:trHeight w:val="102"/>
        </w:trPr>
        <w:tc>
          <w:tcPr>
            <w:tcW w:w="5686" w:type="dxa"/>
            <w:tcBorders>
              <w:top w:val="nil"/>
              <w:left w:val="single" w:sz="4" w:space="0" w:color="auto"/>
              <w:bottom w:val="single" w:sz="4" w:space="0" w:color="auto"/>
              <w:right w:val="single" w:sz="4" w:space="0" w:color="auto"/>
            </w:tcBorders>
            <w:shd w:val="clear" w:color="auto" w:fill="auto"/>
            <w:hideMark/>
          </w:tcPr>
          <w:p w14:paraId="5BCD7593" w14:textId="77777777" w:rsidR="006148E8" w:rsidRPr="006148E8" w:rsidRDefault="006148E8" w:rsidP="006148E8">
            <w:pPr>
              <w:rPr>
                <w:rFonts w:eastAsia="Times New Roman" w:cstheme="majorHAnsi"/>
                <w:color w:val="000000"/>
                <w:lang w:eastAsia="it-IT"/>
              </w:rPr>
            </w:pPr>
            <w:r w:rsidRPr="006148E8">
              <w:rPr>
                <w:rFonts w:eastAsia="Times New Roman" w:cstheme="majorHAnsi"/>
                <w:color w:val="000000"/>
                <w:lang w:eastAsia="it-IT"/>
              </w:rPr>
              <w:t>Elettrodomestici</w:t>
            </w:r>
          </w:p>
        </w:tc>
        <w:tc>
          <w:tcPr>
            <w:tcW w:w="930" w:type="dxa"/>
            <w:tcBorders>
              <w:top w:val="nil"/>
              <w:left w:val="nil"/>
              <w:bottom w:val="single" w:sz="4" w:space="0" w:color="auto"/>
              <w:right w:val="single" w:sz="4" w:space="0" w:color="auto"/>
            </w:tcBorders>
            <w:shd w:val="clear" w:color="auto" w:fill="auto"/>
            <w:noWrap/>
            <w:vAlign w:val="bottom"/>
            <w:hideMark/>
          </w:tcPr>
          <w:p w14:paraId="74246B4E"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-930 </w:t>
            </w:r>
          </w:p>
        </w:tc>
        <w:tc>
          <w:tcPr>
            <w:tcW w:w="1014" w:type="dxa"/>
            <w:tcBorders>
              <w:top w:val="nil"/>
              <w:left w:val="nil"/>
              <w:bottom w:val="single" w:sz="4" w:space="0" w:color="auto"/>
              <w:right w:val="single" w:sz="4" w:space="0" w:color="auto"/>
            </w:tcBorders>
            <w:shd w:val="clear" w:color="auto" w:fill="auto"/>
            <w:noWrap/>
            <w:vAlign w:val="bottom"/>
            <w:hideMark/>
          </w:tcPr>
          <w:p w14:paraId="3435868C"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-40,0%</w:t>
            </w:r>
          </w:p>
        </w:tc>
        <w:tc>
          <w:tcPr>
            <w:tcW w:w="899" w:type="dxa"/>
            <w:tcBorders>
              <w:top w:val="nil"/>
              <w:left w:val="nil"/>
              <w:bottom w:val="single" w:sz="4" w:space="0" w:color="auto"/>
              <w:right w:val="single" w:sz="4" w:space="0" w:color="auto"/>
            </w:tcBorders>
            <w:shd w:val="clear" w:color="auto" w:fill="auto"/>
            <w:noWrap/>
            <w:vAlign w:val="bottom"/>
            <w:hideMark/>
          </w:tcPr>
          <w:p w14:paraId="04778267"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-665 </w:t>
            </w:r>
          </w:p>
        </w:tc>
        <w:tc>
          <w:tcPr>
            <w:tcW w:w="981" w:type="dxa"/>
            <w:tcBorders>
              <w:top w:val="nil"/>
              <w:left w:val="nil"/>
              <w:bottom w:val="single" w:sz="4" w:space="0" w:color="auto"/>
              <w:right w:val="single" w:sz="4" w:space="0" w:color="auto"/>
            </w:tcBorders>
            <w:shd w:val="clear" w:color="auto" w:fill="auto"/>
            <w:noWrap/>
            <w:vAlign w:val="bottom"/>
            <w:hideMark/>
          </w:tcPr>
          <w:p w14:paraId="77D25F37"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-32,3%</w:t>
            </w:r>
          </w:p>
        </w:tc>
      </w:tr>
      <w:tr w:rsidR="006148E8" w:rsidRPr="006148E8" w14:paraId="17A8AAB7" w14:textId="77777777" w:rsidTr="006148E8">
        <w:trPr>
          <w:trHeight w:val="102"/>
        </w:trPr>
        <w:tc>
          <w:tcPr>
            <w:tcW w:w="5686" w:type="dxa"/>
            <w:tcBorders>
              <w:top w:val="nil"/>
              <w:left w:val="single" w:sz="4" w:space="0" w:color="auto"/>
              <w:bottom w:val="single" w:sz="4" w:space="0" w:color="auto"/>
              <w:right w:val="single" w:sz="4" w:space="0" w:color="auto"/>
            </w:tcBorders>
            <w:shd w:val="clear" w:color="auto" w:fill="auto"/>
            <w:vAlign w:val="bottom"/>
            <w:hideMark/>
          </w:tcPr>
          <w:p w14:paraId="5AF6605C" w14:textId="77777777" w:rsidR="006148E8" w:rsidRPr="006148E8" w:rsidRDefault="006148E8" w:rsidP="006148E8">
            <w:pPr>
              <w:rPr>
                <w:rFonts w:eastAsia="Times New Roman" w:cstheme="majorHAnsi"/>
                <w:color w:val="000000"/>
                <w:lang w:eastAsia="it-IT"/>
              </w:rPr>
            </w:pPr>
            <w:r w:rsidRPr="006148E8">
              <w:rPr>
                <w:rFonts w:cstheme="majorHAnsi"/>
              </w:rPr>
              <w:t>Empori</w:t>
            </w:r>
          </w:p>
        </w:tc>
        <w:tc>
          <w:tcPr>
            <w:tcW w:w="930" w:type="dxa"/>
            <w:tcBorders>
              <w:top w:val="nil"/>
              <w:left w:val="nil"/>
              <w:bottom w:val="single" w:sz="4" w:space="0" w:color="auto"/>
              <w:right w:val="single" w:sz="4" w:space="0" w:color="auto"/>
            </w:tcBorders>
            <w:shd w:val="clear" w:color="auto" w:fill="auto"/>
            <w:noWrap/>
            <w:vAlign w:val="bottom"/>
            <w:hideMark/>
          </w:tcPr>
          <w:p w14:paraId="38DB8A3B"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119 </w:t>
            </w:r>
          </w:p>
        </w:tc>
        <w:tc>
          <w:tcPr>
            <w:tcW w:w="1014" w:type="dxa"/>
            <w:tcBorders>
              <w:top w:val="nil"/>
              <w:left w:val="nil"/>
              <w:bottom w:val="single" w:sz="4" w:space="0" w:color="auto"/>
              <w:right w:val="single" w:sz="4" w:space="0" w:color="auto"/>
            </w:tcBorders>
            <w:shd w:val="clear" w:color="auto" w:fill="auto"/>
            <w:noWrap/>
            <w:vAlign w:val="bottom"/>
            <w:hideMark/>
          </w:tcPr>
          <w:p w14:paraId="5952C6FC"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6,2%</w:t>
            </w:r>
          </w:p>
        </w:tc>
        <w:tc>
          <w:tcPr>
            <w:tcW w:w="899" w:type="dxa"/>
            <w:tcBorders>
              <w:top w:val="nil"/>
              <w:left w:val="nil"/>
              <w:bottom w:val="single" w:sz="4" w:space="0" w:color="auto"/>
              <w:right w:val="single" w:sz="4" w:space="0" w:color="auto"/>
            </w:tcBorders>
            <w:shd w:val="clear" w:color="auto" w:fill="auto"/>
            <w:noWrap/>
            <w:vAlign w:val="bottom"/>
            <w:hideMark/>
          </w:tcPr>
          <w:p w14:paraId="57A88B4F"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6 </w:t>
            </w:r>
          </w:p>
        </w:tc>
        <w:tc>
          <w:tcPr>
            <w:tcW w:w="981" w:type="dxa"/>
            <w:tcBorders>
              <w:top w:val="nil"/>
              <w:left w:val="nil"/>
              <w:bottom w:val="single" w:sz="4" w:space="0" w:color="auto"/>
              <w:right w:val="single" w:sz="4" w:space="0" w:color="auto"/>
            </w:tcBorders>
            <w:shd w:val="clear" w:color="auto" w:fill="auto"/>
            <w:noWrap/>
            <w:vAlign w:val="bottom"/>
            <w:hideMark/>
          </w:tcPr>
          <w:p w14:paraId="77F546C3"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0,3%</w:t>
            </w:r>
          </w:p>
        </w:tc>
      </w:tr>
      <w:tr w:rsidR="006148E8" w:rsidRPr="006148E8" w14:paraId="1EB40FF7" w14:textId="77777777" w:rsidTr="006148E8">
        <w:trPr>
          <w:trHeight w:val="268"/>
        </w:trPr>
        <w:tc>
          <w:tcPr>
            <w:tcW w:w="5686" w:type="dxa"/>
            <w:tcBorders>
              <w:top w:val="nil"/>
              <w:left w:val="single" w:sz="4" w:space="0" w:color="auto"/>
              <w:bottom w:val="single" w:sz="4" w:space="0" w:color="auto"/>
              <w:right w:val="single" w:sz="4" w:space="0" w:color="auto"/>
            </w:tcBorders>
            <w:shd w:val="clear" w:color="auto" w:fill="auto"/>
            <w:vAlign w:val="bottom"/>
            <w:hideMark/>
          </w:tcPr>
          <w:p w14:paraId="3CA9FC55" w14:textId="77777777" w:rsidR="006148E8" w:rsidRPr="006148E8" w:rsidRDefault="006148E8" w:rsidP="006148E8">
            <w:pPr>
              <w:rPr>
                <w:rFonts w:eastAsia="Times New Roman" w:cstheme="majorHAnsi"/>
                <w:color w:val="000000"/>
                <w:lang w:eastAsia="it-IT"/>
              </w:rPr>
            </w:pPr>
            <w:r w:rsidRPr="006148E8">
              <w:rPr>
                <w:rFonts w:eastAsia="Times New Roman" w:cstheme="majorHAnsi"/>
                <w:color w:val="000000"/>
                <w:lang w:eastAsia="it-IT"/>
              </w:rPr>
              <w:t>Ortofrutta</w:t>
            </w:r>
          </w:p>
        </w:tc>
        <w:tc>
          <w:tcPr>
            <w:tcW w:w="930" w:type="dxa"/>
            <w:tcBorders>
              <w:top w:val="nil"/>
              <w:left w:val="nil"/>
              <w:bottom w:val="single" w:sz="4" w:space="0" w:color="auto"/>
              <w:right w:val="single" w:sz="4" w:space="0" w:color="auto"/>
            </w:tcBorders>
            <w:shd w:val="clear" w:color="auto" w:fill="auto"/>
            <w:noWrap/>
            <w:vAlign w:val="bottom"/>
            <w:hideMark/>
          </w:tcPr>
          <w:p w14:paraId="60421827"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-2 </w:t>
            </w:r>
          </w:p>
        </w:tc>
        <w:tc>
          <w:tcPr>
            <w:tcW w:w="1014" w:type="dxa"/>
            <w:tcBorders>
              <w:top w:val="nil"/>
              <w:left w:val="nil"/>
              <w:bottom w:val="single" w:sz="4" w:space="0" w:color="auto"/>
              <w:right w:val="single" w:sz="4" w:space="0" w:color="auto"/>
            </w:tcBorders>
            <w:shd w:val="clear" w:color="auto" w:fill="auto"/>
            <w:noWrap/>
            <w:vAlign w:val="bottom"/>
            <w:hideMark/>
          </w:tcPr>
          <w:p w14:paraId="62A570C0"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-0,1%</w:t>
            </w:r>
          </w:p>
        </w:tc>
        <w:tc>
          <w:tcPr>
            <w:tcW w:w="899" w:type="dxa"/>
            <w:tcBorders>
              <w:top w:val="nil"/>
              <w:left w:val="nil"/>
              <w:bottom w:val="single" w:sz="4" w:space="0" w:color="auto"/>
              <w:right w:val="single" w:sz="4" w:space="0" w:color="auto"/>
            </w:tcBorders>
            <w:shd w:val="clear" w:color="auto" w:fill="auto"/>
            <w:noWrap/>
            <w:vAlign w:val="bottom"/>
            <w:hideMark/>
          </w:tcPr>
          <w:p w14:paraId="7FE354C1"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-284 </w:t>
            </w:r>
          </w:p>
        </w:tc>
        <w:tc>
          <w:tcPr>
            <w:tcW w:w="981" w:type="dxa"/>
            <w:tcBorders>
              <w:top w:val="nil"/>
              <w:left w:val="nil"/>
              <w:bottom w:val="single" w:sz="4" w:space="0" w:color="auto"/>
              <w:right w:val="single" w:sz="4" w:space="0" w:color="auto"/>
            </w:tcBorders>
            <w:shd w:val="clear" w:color="auto" w:fill="auto"/>
            <w:noWrap/>
            <w:vAlign w:val="bottom"/>
            <w:hideMark/>
          </w:tcPr>
          <w:p w14:paraId="4F377C9A"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-8,6%</w:t>
            </w:r>
          </w:p>
        </w:tc>
      </w:tr>
      <w:tr w:rsidR="006148E8" w:rsidRPr="006148E8" w14:paraId="2B113ACC" w14:textId="77777777" w:rsidTr="006148E8">
        <w:trPr>
          <w:trHeight w:val="102"/>
        </w:trPr>
        <w:tc>
          <w:tcPr>
            <w:tcW w:w="5686" w:type="dxa"/>
            <w:tcBorders>
              <w:top w:val="nil"/>
              <w:left w:val="single" w:sz="4" w:space="0" w:color="auto"/>
              <w:bottom w:val="single" w:sz="4" w:space="0" w:color="auto"/>
              <w:right w:val="single" w:sz="4" w:space="0" w:color="auto"/>
            </w:tcBorders>
            <w:shd w:val="clear" w:color="auto" w:fill="auto"/>
            <w:vAlign w:val="bottom"/>
            <w:hideMark/>
          </w:tcPr>
          <w:p w14:paraId="7CD53F68" w14:textId="77777777" w:rsidR="006148E8" w:rsidRPr="006148E8" w:rsidRDefault="006148E8" w:rsidP="006148E8">
            <w:pPr>
              <w:rPr>
                <w:rFonts w:eastAsia="Times New Roman" w:cstheme="majorHAnsi"/>
                <w:color w:val="000000"/>
                <w:lang w:eastAsia="it-IT"/>
              </w:rPr>
            </w:pPr>
            <w:r w:rsidRPr="006148E8">
              <w:rPr>
                <w:rFonts w:eastAsia="Times New Roman" w:cstheme="majorHAnsi"/>
                <w:color w:val="000000"/>
                <w:lang w:eastAsia="it-IT"/>
              </w:rPr>
              <w:t>Macellerie</w:t>
            </w:r>
          </w:p>
        </w:tc>
        <w:tc>
          <w:tcPr>
            <w:tcW w:w="930" w:type="dxa"/>
            <w:tcBorders>
              <w:top w:val="nil"/>
              <w:left w:val="nil"/>
              <w:bottom w:val="single" w:sz="4" w:space="0" w:color="auto"/>
              <w:right w:val="single" w:sz="4" w:space="0" w:color="auto"/>
            </w:tcBorders>
            <w:shd w:val="clear" w:color="auto" w:fill="auto"/>
            <w:noWrap/>
            <w:vAlign w:val="bottom"/>
            <w:hideMark/>
          </w:tcPr>
          <w:p w14:paraId="1BEE8054"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-840 </w:t>
            </w:r>
          </w:p>
        </w:tc>
        <w:tc>
          <w:tcPr>
            <w:tcW w:w="1014" w:type="dxa"/>
            <w:tcBorders>
              <w:top w:val="nil"/>
              <w:left w:val="nil"/>
              <w:bottom w:val="single" w:sz="4" w:space="0" w:color="auto"/>
              <w:right w:val="single" w:sz="4" w:space="0" w:color="auto"/>
            </w:tcBorders>
            <w:shd w:val="clear" w:color="auto" w:fill="auto"/>
            <w:noWrap/>
            <w:vAlign w:val="bottom"/>
            <w:hideMark/>
          </w:tcPr>
          <w:p w14:paraId="27BDE09F"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-20,1%</w:t>
            </w:r>
          </w:p>
        </w:tc>
        <w:tc>
          <w:tcPr>
            <w:tcW w:w="899" w:type="dxa"/>
            <w:tcBorders>
              <w:top w:val="nil"/>
              <w:left w:val="nil"/>
              <w:bottom w:val="single" w:sz="4" w:space="0" w:color="auto"/>
              <w:right w:val="single" w:sz="4" w:space="0" w:color="auto"/>
            </w:tcBorders>
            <w:shd w:val="clear" w:color="auto" w:fill="auto"/>
            <w:noWrap/>
            <w:vAlign w:val="bottom"/>
            <w:hideMark/>
          </w:tcPr>
          <w:p w14:paraId="3A5EFFE4"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-523 </w:t>
            </w:r>
          </w:p>
        </w:tc>
        <w:tc>
          <w:tcPr>
            <w:tcW w:w="981" w:type="dxa"/>
            <w:tcBorders>
              <w:top w:val="nil"/>
              <w:left w:val="nil"/>
              <w:bottom w:val="single" w:sz="4" w:space="0" w:color="auto"/>
              <w:right w:val="single" w:sz="4" w:space="0" w:color="auto"/>
            </w:tcBorders>
            <w:shd w:val="clear" w:color="auto" w:fill="auto"/>
            <w:noWrap/>
            <w:vAlign w:val="bottom"/>
            <w:hideMark/>
          </w:tcPr>
          <w:p w14:paraId="698B9648"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-13,5%</w:t>
            </w:r>
          </w:p>
        </w:tc>
      </w:tr>
      <w:tr w:rsidR="006148E8" w:rsidRPr="006148E8" w14:paraId="4D6DFD46" w14:textId="77777777" w:rsidTr="006148E8">
        <w:trPr>
          <w:trHeight w:val="268"/>
        </w:trPr>
        <w:tc>
          <w:tcPr>
            <w:tcW w:w="5686" w:type="dxa"/>
            <w:tcBorders>
              <w:top w:val="nil"/>
              <w:left w:val="single" w:sz="4" w:space="0" w:color="auto"/>
              <w:bottom w:val="single" w:sz="4" w:space="0" w:color="auto"/>
              <w:right w:val="single" w:sz="4" w:space="0" w:color="auto"/>
            </w:tcBorders>
            <w:shd w:val="clear" w:color="auto" w:fill="auto"/>
            <w:vAlign w:val="bottom"/>
            <w:hideMark/>
          </w:tcPr>
          <w:p w14:paraId="4F097A80" w14:textId="77777777" w:rsidR="006148E8" w:rsidRPr="006148E8" w:rsidRDefault="006148E8" w:rsidP="006148E8">
            <w:pPr>
              <w:rPr>
                <w:rFonts w:eastAsia="Times New Roman" w:cstheme="majorHAnsi"/>
                <w:color w:val="000000"/>
                <w:lang w:eastAsia="it-IT"/>
              </w:rPr>
            </w:pPr>
            <w:r w:rsidRPr="006148E8">
              <w:rPr>
                <w:rFonts w:eastAsia="Times New Roman" w:cstheme="majorHAnsi"/>
                <w:color w:val="000000"/>
                <w:lang w:eastAsia="it-IT"/>
              </w:rPr>
              <w:t>Pescherie</w:t>
            </w:r>
          </w:p>
        </w:tc>
        <w:tc>
          <w:tcPr>
            <w:tcW w:w="930" w:type="dxa"/>
            <w:tcBorders>
              <w:top w:val="nil"/>
              <w:left w:val="nil"/>
              <w:bottom w:val="single" w:sz="4" w:space="0" w:color="auto"/>
              <w:right w:val="single" w:sz="4" w:space="0" w:color="auto"/>
            </w:tcBorders>
            <w:shd w:val="clear" w:color="auto" w:fill="auto"/>
            <w:noWrap/>
            <w:vAlign w:val="bottom"/>
            <w:hideMark/>
          </w:tcPr>
          <w:p w14:paraId="39AD6AE6"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-32 </w:t>
            </w:r>
          </w:p>
        </w:tc>
        <w:tc>
          <w:tcPr>
            <w:tcW w:w="1014" w:type="dxa"/>
            <w:tcBorders>
              <w:top w:val="nil"/>
              <w:left w:val="nil"/>
              <w:bottom w:val="single" w:sz="4" w:space="0" w:color="auto"/>
              <w:right w:val="single" w:sz="4" w:space="0" w:color="auto"/>
            </w:tcBorders>
            <w:shd w:val="clear" w:color="auto" w:fill="auto"/>
            <w:noWrap/>
            <w:vAlign w:val="bottom"/>
            <w:hideMark/>
          </w:tcPr>
          <w:p w14:paraId="4CEAD0B2"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-2,5%</w:t>
            </w:r>
          </w:p>
        </w:tc>
        <w:tc>
          <w:tcPr>
            <w:tcW w:w="899" w:type="dxa"/>
            <w:tcBorders>
              <w:top w:val="nil"/>
              <w:left w:val="nil"/>
              <w:bottom w:val="single" w:sz="4" w:space="0" w:color="auto"/>
              <w:right w:val="single" w:sz="4" w:space="0" w:color="auto"/>
            </w:tcBorders>
            <w:shd w:val="clear" w:color="auto" w:fill="auto"/>
            <w:noWrap/>
            <w:vAlign w:val="bottom"/>
            <w:hideMark/>
          </w:tcPr>
          <w:p w14:paraId="67552004"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-69 </w:t>
            </w:r>
          </w:p>
        </w:tc>
        <w:tc>
          <w:tcPr>
            <w:tcW w:w="981" w:type="dxa"/>
            <w:tcBorders>
              <w:top w:val="nil"/>
              <w:left w:val="nil"/>
              <w:bottom w:val="single" w:sz="4" w:space="0" w:color="auto"/>
              <w:right w:val="single" w:sz="4" w:space="0" w:color="auto"/>
            </w:tcBorders>
            <w:shd w:val="clear" w:color="auto" w:fill="auto"/>
            <w:noWrap/>
            <w:vAlign w:val="bottom"/>
            <w:hideMark/>
          </w:tcPr>
          <w:p w14:paraId="47BA341C"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-5,2%</w:t>
            </w:r>
          </w:p>
        </w:tc>
      </w:tr>
      <w:tr w:rsidR="006148E8" w:rsidRPr="006148E8" w14:paraId="3D79C3F4" w14:textId="77777777" w:rsidTr="006148E8">
        <w:trPr>
          <w:trHeight w:val="268"/>
        </w:trPr>
        <w:tc>
          <w:tcPr>
            <w:tcW w:w="5686" w:type="dxa"/>
            <w:tcBorders>
              <w:top w:val="nil"/>
              <w:left w:val="single" w:sz="4" w:space="0" w:color="auto"/>
              <w:bottom w:val="single" w:sz="4" w:space="0" w:color="auto"/>
              <w:right w:val="single" w:sz="4" w:space="0" w:color="auto"/>
            </w:tcBorders>
            <w:shd w:val="clear" w:color="auto" w:fill="auto"/>
            <w:vAlign w:val="bottom"/>
            <w:hideMark/>
          </w:tcPr>
          <w:p w14:paraId="0F9A3DE0" w14:textId="77777777" w:rsidR="006148E8" w:rsidRPr="006148E8" w:rsidRDefault="006148E8" w:rsidP="006148E8">
            <w:pPr>
              <w:rPr>
                <w:rFonts w:eastAsia="Times New Roman" w:cstheme="majorHAnsi"/>
                <w:color w:val="000000"/>
                <w:lang w:eastAsia="it-IT"/>
              </w:rPr>
            </w:pPr>
            <w:r w:rsidRPr="006148E8">
              <w:rPr>
                <w:rFonts w:eastAsia="Times New Roman" w:cstheme="majorHAnsi"/>
                <w:color w:val="000000"/>
                <w:lang w:eastAsia="it-IT"/>
              </w:rPr>
              <w:t>Panetterie</w:t>
            </w:r>
          </w:p>
        </w:tc>
        <w:tc>
          <w:tcPr>
            <w:tcW w:w="930" w:type="dxa"/>
            <w:tcBorders>
              <w:top w:val="nil"/>
              <w:left w:val="nil"/>
              <w:bottom w:val="single" w:sz="4" w:space="0" w:color="auto"/>
              <w:right w:val="single" w:sz="4" w:space="0" w:color="auto"/>
            </w:tcBorders>
            <w:shd w:val="clear" w:color="auto" w:fill="auto"/>
            <w:noWrap/>
            <w:vAlign w:val="bottom"/>
            <w:hideMark/>
          </w:tcPr>
          <w:p w14:paraId="2B446CE1"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-183 </w:t>
            </w:r>
          </w:p>
        </w:tc>
        <w:tc>
          <w:tcPr>
            <w:tcW w:w="1014" w:type="dxa"/>
            <w:tcBorders>
              <w:top w:val="nil"/>
              <w:left w:val="nil"/>
              <w:bottom w:val="single" w:sz="4" w:space="0" w:color="auto"/>
              <w:right w:val="single" w:sz="4" w:space="0" w:color="auto"/>
            </w:tcBorders>
            <w:shd w:val="clear" w:color="auto" w:fill="auto"/>
            <w:noWrap/>
            <w:vAlign w:val="bottom"/>
            <w:hideMark/>
          </w:tcPr>
          <w:p w14:paraId="7B11B78C"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-20,9%</w:t>
            </w:r>
          </w:p>
        </w:tc>
        <w:tc>
          <w:tcPr>
            <w:tcW w:w="899" w:type="dxa"/>
            <w:tcBorders>
              <w:top w:val="nil"/>
              <w:left w:val="nil"/>
              <w:bottom w:val="single" w:sz="4" w:space="0" w:color="auto"/>
              <w:right w:val="single" w:sz="4" w:space="0" w:color="auto"/>
            </w:tcBorders>
            <w:shd w:val="clear" w:color="auto" w:fill="auto"/>
            <w:noWrap/>
            <w:vAlign w:val="bottom"/>
            <w:hideMark/>
          </w:tcPr>
          <w:p w14:paraId="71BB5E75"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-153 </w:t>
            </w:r>
          </w:p>
        </w:tc>
        <w:tc>
          <w:tcPr>
            <w:tcW w:w="981" w:type="dxa"/>
            <w:tcBorders>
              <w:top w:val="nil"/>
              <w:left w:val="nil"/>
              <w:bottom w:val="single" w:sz="4" w:space="0" w:color="auto"/>
              <w:right w:val="single" w:sz="4" w:space="0" w:color="auto"/>
            </w:tcBorders>
            <w:shd w:val="clear" w:color="auto" w:fill="auto"/>
            <w:noWrap/>
            <w:vAlign w:val="bottom"/>
            <w:hideMark/>
          </w:tcPr>
          <w:p w14:paraId="3C239E39"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-18,1%</w:t>
            </w:r>
          </w:p>
        </w:tc>
      </w:tr>
      <w:tr w:rsidR="006148E8" w:rsidRPr="006148E8" w14:paraId="1CE38254" w14:textId="77777777" w:rsidTr="006148E8">
        <w:trPr>
          <w:trHeight w:val="268"/>
        </w:trPr>
        <w:tc>
          <w:tcPr>
            <w:tcW w:w="5686" w:type="dxa"/>
            <w:tcBorders>
              <w:top w:val="nil"/>
              <w:left w:val="single" w:sz="4" w:space="0" w:color="auto"/>
              <w:bottom w:val="single" w:sz="4" w:space="0" w:color="auto"/>
              <w:right w:val="single" w:sz="4" w:space="0" w:color="auto"/>
            </w:tcBorders>
            <w:shd w:val="clear" w:color="auto" w:fill="auto"/>
            <w:vAlign w:val="bottom"/>
            <w:hideMark/>
          </w:tcPr>
          <w:p w14:paraId="035F39EA" w14:textId="77777777" w:rsidR="006148E8" w:rsidRPr="006148E8" w:rsidRDefault="006148E8" w:rsidP="006148E8">
            <w:pPr>
              <w:rPr>
                <w:rFonts w:eastAsia="Times New Roman" w:cstheme="majorHAnsi"/>
                <w:color w:val="000000"/>
                <w:lang w:eastAsia="it-IT"/>
              </w:rPr>
            </w:pPr>
            <w:r w:rsidRPr="006148E8">
              <w:rPr>
                <w:rFonts w:eastAsia="Times New Roman" w:cstheme="majorHAnsi"/>
                <w:color w:val="000000"/>
                <w:lang w:eastAsia="it-IT"/>
              </w:rPr>
              <w:t>Negozi di Bevande</w:t>
            </w:r>
          </w:p>
        </w:tc>
        <w:tc>
          <w:tcPr>
            <w:tcW w:w="930" w:type="dxa"/>
            <w:tcBorders>
              <w:top w:val="nil"/>
              <w:left w:val="nil"/>
              <w:bottom w:val="single" w:sz="4" w:space="0" w:color="auto"/>
              <w:right w:val="single" w:sz="4" w:space="0" w:color="auto"/>
            </w:tcBorders>
            <w:shd w:val="clear" w:color="auto" w:fill="auto"/>
            <w:noWrap/>
            <w:vAlign w:val="bottom"/>
            <w:hideMark/>
          </w:tcPr>
          <w:p w14:paraId="773D8A6A"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-18 </w:t>
            </w:r>
          </w:p>
        </w:tc>
        <w:tc>
          <w:tcPr>
            <w:tcW w:w="1014" w:type="dxa"/>
            <w:tcBorders>
              <w:top w:val="nil"/>
              <w:left w:val="nil"/>
              <w:bottom w:val="single" w:sz="4" w:space="0" w:color="auto"/>
              <w:right w:val="single" w:sz="4" w:space="0" w:color="auto"/>
            </w:tcBorders>
            <w:shd w:val="clear" w:color="auto" w:fill="auto"/>
            <w:noWrap/>
            <w:vAlign w:val="bottom"/>
            <w:hideMark/>
          </w:tcPr>
          <w:p w14:paraId="0EF3FE7F"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-1,7%</w:t>
            </w:r>
          </w:p>
        </w:tc>
        <w:tc>
          <w:tcPr>
            <w:tcW w:w="899" w:type="dxa"/>
            <w:tcBorders>
              <w:top w:val="nil"/>
              <w:left w:val="nil"/>
              <w:bottom w:val="single" w:sz="4" w:space="0" w:color="auto"/>
              <w:right w:val="single" w:sz="4" w:space="0" w:color="auto"/>
            </w:tcBorders>
            <w:shd w:val="clear" w:color="auto" w:fill="auto"/>
            <w:noWrap/>
            <w:vAlign w:val="bottom"/>
            <w:hideMark/>
          </w:tcPr>
          <w:p w14:paraId="4176F686"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-95 </w:t>
            </w:r>
          </w:p>
        </w:tc>
        <w:tc>
          <w:tcPr>
            <w:tcW w:w="981" w:type="dxa"/>
            <w:tcBorders>
              <w:top w:val="nil"/>
              <w:left w:val="nil"/>
              <w:bottom w:val="single" w:sz="4" w:space="0" w:color="auto"/>
              <w:right w:val="single" w:sz="4" w:space="0" w:color="auto"/>
            </w:tcBorders>
            <w:shd w:val="clear" w:color="auto" w:fill="auto"/>
            <w:noWrap/>
            <w:vAlign w:val="bottom"/>
            <w:hideMark/>
          </w:tcPr>
          <w:p w14:paraId="0BDC48DA"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-8,4%</w:t>
            </w:r>
          </w:p>
        </w:tc>
      </w:tr>
      <w:tr w:rsidR="006148E8" w:rsidRPr="006148E8" w14:paraId="002245F5" w14:textId="77777777" w:rsidTr="006148E8">
        <w:trPr>
          <w:trHeight w:val="102"/>
        </w:trPr>
        <w:tc>
          <w:tcPr>
            <w:tcW w:w="5686" w:type="dxa"/>
            <w:tcBorders>
              <w:top w:val="nil"/>
              <w:left w:val="single" w:sz="4" w:space="0" w:color="auto"/>
              <w:bottom w:val="single" w:sz="4" w:space="0" w:color="auto"/>
              <w:right w:val="single" w:sz="4" w:space="0" w:color="auto"/>
            </w:tcBorders>
            <w:shd w:val="clear" w:color="auto" w:fill="auto"/>
            <w:vAlign w:val="bottom"/>
            <w:hideMark/>
          </w:tcPr>
          <w:p w14:paraId="5F0B8DA8" w14:textId="77777777" w:rsidR="006148E8" w:rsidRPr="006148E8" w:rsidRDefault="006148E8" w:rsidP="006148E8">
            <w:pPr>
              <w:rPr>
                <w:rFonts w:eastAsia="Times New Roman" w:cstheme="majorHAnsi"/>
                <w:color w:val="000000"/>
                <w:lang w:eastAsia="it-IT"/>
              </w:rPr>
            </w:pPr>
            <w:r w:rsidRPr="006148E8">
              <w:rPr>
                <w:rFonts w:eastAsia="Times New Roman" w:cstheme="majorHAnsi"/>
                <w:color w:val="000000"/>
                <w:lang w:eastAsia="it-IT"/>
              </w:rPr>
              <w:t>Tabaccherie</w:t>
            </w:r>
          </w:p>
        </w:tc>
        <w:tc>
          <w:tcPr>
            <w:tcW w:w="930" w:type="dxa"/>
            <w:tcBorders>
              <w:top w:val="nil"/>
              <w:left w:val="nil"/>
              <w:bottom w:val="single" w:sz="4" w:space="0" w:color="auto"/>
              <w:right w:val="single" w:sz="4" w:space="0" w:color="auto"/>
            </w:tcBorders>
            <w:shd w:val="clear" w:color="auto" w:fill="auto"/>
            <w:noWrap/>
            <w:vAlign w:val="bottom"/>
            <w:hideMark/>
          </w:tcPr>
          <w:p w14:paraId="59464843"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160 </w:t>
            </w:r>
          </w:p>
        </w:tc>
        <w:tc>
          <w:tcPr>
            <w:tcW w:w="1014" w:type="dxa"/>
            <w:tcBorders>
              <w:top w:val="nil"/>
              <w:left w:val="nil"/>
              <w:bottom w:val="single" w:sz="4" w:space="0" w:color="auto"/>
              <w:right w:val="single" w:sz="4" w:space="0" w:color="auto"/>
            </w:tcBorders>
            <w:shd w:val="clear" w:color="auto" w:fill="auto"/>
            <w:noWrap/>
            <w:vAlign w:val="bottom"/>
            <w:hideMark/>
          </w:tcPr>
          <w:p w14:paraId="784F1132"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3,3%</w:t>
            </w:r>
          </w:p>
        </w:tc>
        <w:tc>
          <w:tcPr>
            <w:tcW w:w="899" w:type="dxa"/>
            <w:tcBorders>
              <w:top w:val="nil"/>
              <w:left w:val="nil"/>
              <w:bottom w:val="single" w:sz="4" w:space="0" w:color="auto"/>
              <w:right w:val="single" w:sz="4" w:space="0" w:color="auto"/>
            </w:tcBorders>
            <w:shd w:val="clear" w:color="auto" w:fill="auto"/>
            <w:noWrap/>
            <w:vAlign w:val="bottom"/>
            <w:hideMark/>
          </w:tcPr>
          <w:p w14:paraId="0C53A9B9"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-140 </w:t>
            </w:r>
          </w:p>
        </w:tc>
        <w:tc>
          <w:tcPr>
            <w:tcW w:w="981" w:type="dxa"/>
            <w:tcBorders>
              <w:top w:val="nil"/>
              <w:left w:val="nil"/>
              <w:bottom w:val="single" w:sz="4" w:space="0" w:color="auto"/>
              <w:right w:val="single" w:sz="4" w:space="0" w:color="auto"/>
            </w:tcBorders>
            <w:shd w:val="clear" w:color="auto" w:fill="auto"/>
            <w:noWrap/>
            <w:vAlign w:val="bottom"/>
            <w:hideMark/>
          </w:tcPr>
          <w:p w14:paraId="00A2C9BF"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-2,7%</w:t>
            </w:r>
          </w:p>
        </w:tc>
      </w:tr>
      <w:tr w:rsidR="006148E8" w:rsidRPr="006148E8" w14:paraId="33E9CC9D" w14:textId="77777777" w:rsidTr="006148E8">
        <w:trPr>
          <w:trHeight w:val="102"/>
        </w:trPr>
        <w:tc>
          <w:tcPr>
            <w:tcW w:w="5686" w:type="dxa"/>
            <w:tcBorders>
              <w:top w:val="nil"/>
              <w:left w:val="single" w:sz="4" w:space="0" w:color="auto"/>
              <w:bottom w:val="single" w:sz="4" w:space="0" w:color="auto"/>
              <w:right w:val="single" w:sz="4" w:space="0" w:color="auto"/>
            </w:tcBorders>
            <w:shd w:val="clear" w:color="auto" w:fill="auto"/>
            <w:vAlign w:val="bottom"/>
            <w:hideMark/>
          </w:tcPr>
          <w:p w14:paraId="3DE289DE" w14:textId="77777777" w:rsidR="006148E8" w:rsidRPr="006148E8" w:rsidRDefault="006148E8" w:rsidP="006148E8">
            <w:pPr>
              <w:rPr>
                <w:rFonts w:eastAsia="Times New Roman" w:cstheme="majorHAnsi"/>
                <w:color w:val="000000"/>
                <w:lang w:eastAsia="it-IT"/>
              </w:rPr>
            </w:pPr>
            <w:r w:rsidRPr="006148E8">
              <w:rPr>
                <w:rFonts w:eastAsia="Times New Roman" w:cstheme="majorHAnsi"/>
                <w:color w:val="000000"/>
                <w:lang w:eastAsia="it-IT"/>
              </w:rPr>
              <w:t>Distributori carburanti</w:t>
            </w:r>
          </w:p>
        </w:tc>
        <w:tc>
          <w:tcPr>
            <w:tcW w:w="930" w:type="dxa"/>
            <w:tcBorders>
              <w:top w:val="nil"/>
              <w:left w:val="nil"/>
              <w:bottom w:val="single" w:sz="4" w:space="0" w:color="auto"/>
              <w:right w:val="single" w:sz="4" w:space="0" w:color="auto"/>
            </w:tcBorders>
            <w:shd w:val="clear" w:color="auto" w:fill="auto"/>
            <w:noWrap/>
            <w:vAlign w:val="bottom"/>
            <w:hideMark/>
          </w:tcPr>
          <w:p w14:paraId="36CFE206"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-688 </w:t>
            </w:r>
          </w:p>
        </w:tc>
        <w:tc>
          <w:tcPr>
            <w:tcW w:w="1014" w:type="dxa"/>
            <w:tcBorders>
              <w:top w:val="nil"/>
              <w:left w:val="nil"/>
              <w:bottom w:val="single" w:sz="4" w:space="0" w:color="auto"/>
              <w:right w:val="single" w:sz="4" w:space="0" w:color="auto"/>
            </w:tcBorders>
            <w:shd w:val="clear" w:color="auto" w:fill="auto"/>
            <w:noWrap/>
            <w:vAlign w:val="bottom"/>
            <w:hideMark/>
          </w:tcPr>
          <w:p w14:paraId="601EE27C"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-24,3%</w:t>
            </w:r>
          </w:p>
        </w:tc>
        <w:tc>
          <w:tcPr>
            <w:tcW w:w="899" w:type="dxa"/>
            <w:tcBorders>
              <w:top w:val="nil"/>
              <w:left w:val="nil"/>
              <w:bottom w:val="single" w:sz="4" w:space="0" w:color="auto"/>
              <w:right w:val="single" w:sz="4" w:space="0" w:color="auto"/>
            </w:tcBorders>
            <w:shd w:val="clear" w:color="auto" w:fill="auto"/>
            <w:noWrap/>
            <w:vAlign w:val="bottom"/>
            <w:hideMark/>
          </w:tcPr>
          <w:p w14:paraId="1BE394E0"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-426 </w:t>
            </w:r>
          </w:p>
        </w:tc>
        <w:tc>
          <w:tcPr>
            <w:tcW w:w="981" w:type="dxa"/>
            <w:tcBorders>
              <w:top w:val="nil"/>
              <w:left w:val="nil"/>
              <w:bottom w:val="single" w:sz="4" w:space="0" w:color="auto"/>
              <w:right w:val="single" w:sz="4" w:space="0" w:color="auto"/>
            </w:tcBorders>
            <w:shd w:val="clear" w:color="auto" w:fill="auto"/>
            <w:noWrap/>
            <w:vAlign w:val="bottom"/>
            <w:hideMark/>
          </w:tcPr>
          <w:p w14:paraId="04D32973"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-16,5%</w:t>
            </w:r>
          </w:p>
        </w:tc>
      </w:tr>
      <w:tr w:rsidR="006148E8" w:rsidRPr="006148E8" w14:paraId="419E02D7" w14:textId="77777777" w:rsidTr="006148E8">
        <w:trPr>
          <w:trHeight w:val="102"/>
        </w:trPr>
        <w:tc>
          <w:tcPr>
            <w:tcW w:w="5686" w:type="dxa"/>
            <w:tcBorders>
              <w:top w:val="nil"/>
              <w:left w:val="single" w:sz="4" w:space="0" w:color="auto"/>
              <w:bottom w:val="single" w:sz="4" w:space="0" w:color="auto"/>
              <w:right w:val="single" w:sz="4" w:space="0" w:color="auto"/>
            </w:tcBorders>
            <w:shd w:val="clear" w:color="auto" w:fill="auto"/>
            <w:vAlign w:val="bottom"/>
            <w:hideMark/>
          </w:tcPr>
          <w:p w14:paraId="2B5B607A" w14:textId="77777777" w:rsidR="006148E8" w:rsidRPr="006148E8" w:rsidRDefault="006148E8" w:rsidP="006148E8">
            <w:pPr>
              <w:rPr>
                <w:rFonts w:eastAsia="Times New Roman" w:cstheme="majorHAnsi"/>
                <w:color w:val="000000"/>
                <w:lang w:eastAsia="it-IT"/>
              </w:rPr>
            </w:pPr>
            <w:r w:rsidRPr="006148E8">
              <w:rPr>
                <w:rFonts w:eastAsia="Times New Roman" w:cstheme="majorHAnsi"/>
                <w:color w:val="000000"/>
                <w:lang w:eastAsia="it-IT"/>
              </w:rPr>
              <w:lastRenderedPageBreak/>
              <w:t>Ferramenta</w:t>
            </w:r>
          </w:p>
        </w:tc>
        <w:tc>
          <w:tcPr>
            <w:tcW w:w="930" w:type="dxa"/>
            <w:tcBorders>
              <w:top w:val="nil"/>
              <w:left w:val="nil"/>
              <w:bottom w:val="single" w:sz="4" w:space="0" w:color="auto"/>
              <w:right w:val="single" w:sz="4" w:space="0" w:color="auto"/>
            </w:tcBorders>
            <w:shd w:val="clear" w:color="auto" w:fill="auto"/>
            <w:noWrap/>
            <w:vAlign w:val="bottom"/>
            <w:hideMark/>
          </w:tcPr>
          <w:p w14:paraId="6B91000F"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-850 </w:t>
            </w:r>
          </w:p>
        </w:tc>
        <w:tc>
          <w:tcPr>
            <w:tcW w:w="1014" w:type="dxa"/>
            <w:tcBorders>
              <w:top w:val="nil"/>
              <w:left w:val="nil"/>
              <w:bottom w:val="single" w:sz="4" w:space="0" w:color="auto"/>
              <w:right w:val="single" w:sz="4" w:space="0" w:color="auto"/>
            </w:tcBorders>
            <w:shd w:val="clear" w:color="auto" w:fill="auto"/>
            <w:noWrap/>
            <w:vAlign w:val="bottom"/>
            <w:hideMark/>
          </w:tcPr>
          <w:p w14:paraId="34BC3430"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-25,5%</w:t>
            </w:r>
          </w:p>
        </w:tc>
        <w:tc>
          <w:tcPr>
            <w:tcW w:w="899" w:type="dxa"/>
            <w:tcBorders>
              <w:top w:val="nil"/>
              <w:left w:val="nil"/>
              <w:bottom w:val="single" w:sz="4" w:space="0" w:color="auto"/>
              <w:right w:val="single" w:sz="4" w:space="0" w:color="auto"/>
            </w:tcBorders>
            <w:shd w:val="clear" w:color="auto" w:fill="auto"/>
            <w:noWrap/>
            <w:vAlign w:val="bottom"/>
            <w:hideMark/>
          </w:tcPr>
          <w:p w14:paraId="332AEF21"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-491 </w:t>
            </w:r>
          </w:p>
        </w:tc>
        <w:tc>
          <w:tcPr>
            <w:tcW w:w="981" w:type="dxa"/>
            <w:tcBorders>
              <w:top w:val="nil"/>
              <w:left w:val="nil"/>
              <w:bottom w:val="single" w:sz="4" w:space="0" w:color="auto"/>
              <w:right w:val="single" w:sz="4" w:space="0" w:color="auto"/>
            </w:tcBorders>
            <w:shd w:val="clear" w:color="auto" w:fill="auto"/>
            <w:noWrap/>
            <w:vAlign w:val="bottom"/>
            <w:hideMark/>
          </w:tcPr>
          <w:p w14:paraId="112488BA"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-16,5%</w:t>
            </w:r>
          </w:p>
        </w:tc>
      </w:tr>
      <w:tr w:rsidR="006148E8" w:rsidRPr="006148E8" w14:paraId="6DE45C7A" w14:textId="77777777" w:rsidTr="006148E8">
        <w:trPr>
          <w:trHeight w:val="102"/>
        </w:trPr>
        <w:tc>
          <w:tcPr>
            <w:tcW w:w="5686" w:type="dxa"/>
            <w:tcBorders>
              <w:top w:val="nil"/>
              <w:left w:val="single" w:sz="4" w:space="0" w:color="auto"/>
              <w:bottom w:val="single" w:sz="4" w:space="0" w:color="auto"/>
              <w:right w:val="single" w:sz="4" w:space="0" w:color="auto"/>
            </w:tcBorders>
            <w:shd w:val="clear" w:color="auto" w:fill="auto"/>
            <w:vAlign w:val="bottom"/>
            <w:hideMark/>
          </w:tcPr>
          <w:p w14:paraId="65DFBF94" w14:textId="77777777" w:rsidR="006148E8" w:rsidRPr="006148E8" w:rsidRDefault="006148E8" w:rsidP="006148E8">
            <w:pPr>
              <w:rPr>
                <w:rFonts w:eastAsia="Times New Roman" w:cstheme="majorHAnsi"/>
                <w:color w:val="000000"/>
                <w:lang w:eastAsia="it-IT"/>
              </w:rPr>
            </w:pPr>
            <w:r w:rsidRPr="006148E8">
              <w:rPr>
                <w:rFonts w:eastAsia="Times New Roman" w:cstheme="majorHAnsi"/>
                <w:color w:val="000000"/>
                <w:lang w:eastAsia="it-IT"/>
              </w:rPr>
              <w:t>Librerie</w:t>
            </w:r>
          </w:p>
        </w:tc>
        <w:tc>
          <w:tcPr>
            <w:tcW w:w="930" w:type="dxa"/>
            <w:tcBorders>
              <w:top w:val="nil"/>
              <w:left w:val="nil"/>
              <w:bottom w:val="single" w:sz="4" w:space="0" w:color="auto"/>
              <w:right w:val="single" w:sz="4" w:space="0" w:color="auto"/>
            </w:tcBorders>
            <w:shd w:val="clear" w:color="auto" w:fill="auto"/>
            <w:noWrap/>
            <w:vAlign w:val="bottom"/>
            <w:hideMark/>
          </w:tcPr>
          <w:p w14:paraId="53C589EC"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-222 </w:t>
            </w:r>
          </w:p>
        </w:tc>
        <w:tc>
          <w:tcPr>
            <w:tcW w:w="1014" w:type="dxa"/>
            <w:tcBorders>
              <w:top w:val="nil"/>
              <w:left w:val="nil"/>
              <w:bottom w:val="single" w:sz="4" w:space="0" w:color="auto"/>
              <w:right w:val="single" w:sz="4" w:space="0" w:color="auto"/>
            </w:tcBorders>
            <w:shd w:val="clear" w:color="auto" w:fill="auto"/>
            <w:noWrap/>
            <w:vAlign w:val="bottom"/>
            <w:hideMark/>
          </w:tcPr>
          <w:p w14:paraId="5C4917EC"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-17,3%</w:t>
            </w:r>
          </w:p>
        </w:tc>
        <w:tc>
          <w:tcPr>
            <w:tcW w:w="899" w:type="dxa"/>
            <w:tcBorders>
              <w:top w:val="nil"/>
              <w:left w:val="nil"/>
              <w:bottom w:val="single" w:sz="4" w:space="0" w:color="auto"/>
              <w:right w:val="single" w:sz="4" w:space="0" w:color="auto"/>
            </w:tcBorders>
            <w:shd w:val="clear" w:color="auto" w:fill="auto"/>
            <w:noWrap/>
            <w:vAlign w:val="bottom"/>
            <w:hideMark/>
          </w:tcPr>
          <w:p w14:paraId="7B2795DE"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-154 </w:t>
            </w:r>
          </w:p>
        </w:tc>
        <w:tc>
          <w:tcPr>
            <w:tcW w:w="981" w:type="dxa"/>
            <w:tcBorders>
              <w:top w:val="nil"/>
              <w:left w:val="nil"/>
              <w:bottom w:val="single" w:sz="4" w:space="0" w:color="auto"/>
              <w:right w:val="single" w:sz="4" w:space="0" w:color="auto"/>
            </w:tcBorders>
            <w:shd w:val="clear" w:color="auto" w:fill="auto"/>
            <w:noWrap/>
            <w:vAlign w:val="bottom"/>
            <w:hideMark/>
          </w:tcPr>
          <w:p w14:paraId="38AD5D62"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-12,7%</w:t>
            </w:r>
          </w:p>
        </w:tc>
      </w:tr>
      <w:tr w:rsidR="006148E8" w:rsidRPr="006148E8" w14:paraId="3AF8CA2E" w14:textId="77777777" w:rsidTr="006148E8">
        <w:trPr>
          <w:trHeight w:val="268"/>
        </w:trPr>
        <w:tc>
          <w:tcPr>
            <w:tcW w:w="5686" w:type="dxa"/>
            <w:tcBorders>
              <w:top w:val="nil"/>
              <w:left w:val="single" w:sz="4" w:space="0" w:color="auto"/>
              <w:bottom w:val="single" w:sz="4" w:space="0" w:color="auto"/>
              <w:right w:val="single" w:sz="4" w:space="0" w:color="auto"/>
            </w:tcBorders>
            <w:shd w:val="clear" w:color="auto" w:fill="auto"/>
            <w:vAlign w:val="bottom"/>
            <w:hideMark/>
          </w:tcPr>
          <w:p w14:paraId="6CBCB964" w14:textId="77777777" w:rsidR="006148E8" w:rsidRPr="006148E8" w:rsidRDefault="006148E8" w:rsidP="006148E8">
            <w:pPr>
              <w:rPr>
                <w:rFonts w:eastAsia="Times New Roman" w:cstheme="majorHAnsi"/>
                <w:color w:val="000000"/>
                <w:lang w:eastAsia="it-IT"/>
              </w:rPr>
            </w:pPr>
            <w:r w:rsidRPr="006148E8">
              <w:rPr>
                <w:rFonts w:eastAsia="Times New Roman" w:cstheme="majorHAnsi"/>
                <w:color w:val="000000"/>
                <w:lang w:eastAsia="it-IT"/>
              </w:rPr>
              <w:t>Giornalai</w:t>
            </w:r>
          </w:p>
        </w:tc>
        <w:tc>
          <w:tcPr>
            <w:tcW w:w="930" w:type="dxa"/>
            <w:tcBorders>
              <w:top w:val="nil"/>
              <w:left w:val="nil"/>
              <w:bottom w:val="single" w:sz="4" w:space="0" w:color="auto"/>
              <w:right w:val="single" w:sz="4" w:space="0" w:color="auto"/>
            </w:tcBorders>
            <w:shd w:val="clear" w:color="auto" w:fill="auto"/>
            <w:noWrap/>
            <w:vAlign w:val="bottom"/>
            <w:hideMark/>
          </w:tcPr>
          <w:p w14:paraId="1F2121F3"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-1.302 </w:t>
            </w:r>
          </w:p>
        </w:tc>
        <w:tc>
          <w:tcPr>
            <w:tcW w:w="1014" w:type="dxa"/>
            <w:tcBorders>
              <w:top w:val="nil"/>
              <w:left w:val="nil"/>
              <w:bottom w:val="single" w:sz="4" w:space="0" w:color="auto"/>
              <w:right w:val="single" w:sz="4" w:space="0" w:color="auto"/>
            </w:tcBorders>
            <w:shd w:val="clear" w:color="auto" w:fill="auto"/>
            <w:noWrap/>
            <w:vAlign w:val="bottom"/>
            <w:hideMark/>
          </w:tcPr>
          <w:p w14:paraId="55201B0D"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-34,2%</w:t>
            </w:r>
          </w:p>
        </w:tc>
        <w:tc>
          <w:tcPr>
            <w:tcW w:w="899" w:type="dxa"/>
            <w:tcBorders>
              <w:top w:val="nil"/>
              <w:left w:val="nil"/>
              <w:bottom w:val="single" w:sz="4" w:space="0" w:color="auto"/>
              <w:right w:val="single" w:sz="4" w:space="0" w:color="auto"/>
            </w:tcBorders>
            <w:shd w:val="clear" w:color="auto" w:fill="auto"/>
            <w:noWrap/>
            <w:vAlign w:val="bottom"/>
            <w:hideMark/>
          </w:tcPr>
          <w:p w14:paraId="4BBAAF44"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-654 </w:t>
            </w:r>
          </w:p>
        </w:tc>
        <w:tc>
          <w:tcPr>
            <w:tcW w:w="981" w:type="dxa"/>
            <w:tcBorders>
              <w:top w:val="nil"/>
              <w:left w:val="nil"/>
              <w:bottom w:val="single" w:sz="4" w:space="0" w:color="auto"/>
              <w:right w:val="single" w:sz="4" w:space="0" w:color="auto"/>
            </w:tcBorders>
            <w:shd w:val="clear" w:color="auto" w:fill="auto"/>
            <w:noWrap/>
            <w:vAlign w:val="bottom"/>
            <w:hideMark/>
          </w:tcPr>
          <w:p w14:paraId="53E2B2F9"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-20,7%</w:t>
            </w:r>
          </w:p>
        </w:tc>
      </w:tr>
      <w:tr w:rsidR="006148E8" w:rsidRPr="006148E8" w14:paraId="0E282ED2" w14:textId="77777777" w:rsidTr="006148E8">
        <w:trPr>
          <w:trHeight w:val="268"/>
        </w:trPr>
        <w:tc>
          <w:tcPr>
            <w:tcW w:w="5686" w:type="dxa"/>
            <w:tcBorders>
              <w:top w:val="nil"/>
              <w:left w:val="single" w:sz="4" w:space="0" w:color="auto"/>
              <w:bottom w:val="single" w:sz="4" w:space="0" w:color="auto"/>
              <w:right w:val="single" w:sz="4" w:space="0" w:color="auto"/>
            </w:tcBorders>
            <w:shd w:val="clear" w:color="auto" w:fill="auto"/>
            <w:vAlign w:val="bottom"/>
            <w:hideMark/>
          </w:tcPr>
          <w:p w14:paraId="75712ABD" w14:textId="77777777" w:rsidR="006148E8" w:rsidRPr="006148E8" w:rsidRDefault="006148E8" w:rsidP="006148E8">
            <w:pPr>
              <w:rPr>
                <w:rFonts w:eastAsia="Times New Roman" w:cstheme="majorHAnsi"/>
                <w:color w:val="000000"/>
                <w:lang w:eastAsia="it-IT"/>
              </w:rPr>
            </w:pPr>
            <w:r w:rsidRPr="006148E8">
              <w:rPr>
                <w:rFonts w:cstheme="majorHAnsi"/>
              </w:rPr>
              <w:t>Confezioni per adulti</w:t>
            </w:r>
          </w:p>
        </w:tc>
        <w:tc>
          <w:tcPr>
            <w:tcW w:w="930" w:type="dxa"/>
            <w:tcBorders>
              <w:top w:val="nil"/>
              <w:left w:val="nil"/>
              <w:bottom w:val="single" w:sz="4" w:space="0" w:color="auto"/>
              <w:right w:val="single" w:sz="4" w:space="0" w:color="auto"/>
            </w:tcBorders>
            <w:shd w:val="clear" w:color="auto" w:fill="auto"/>
            <w:noWrap/>
            <w:vAlign w:val="bottom"/>
            <w:hideMark/>
          </w:tcPr>
          <w:p w14:paraId="1181814F"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1.276 </w:t>
            </w:r>
          </w:p>
        </w:tc>
        <w:tc>
          <w:tcPr>
            <w:tcW w:w="1014" w:type="dxa"/>
            <w:tcBorders>
              <w:top w:val="nil"/>
              <w:left w:val="nil"/>
              <w:bottom w:val="single" w:sz="4" w:space="0" w:color="auto"/>
              <w:right w:val="single" w:sz="4" w:space="0" w:color="auto"/>
            </w:tcBorders>
            <w:shd w:val="clear" w:color="auto" w:fill="auto"/>
            <w:noWrap/>
            <w:vAlign w:val="bottom"/>
            <w:hideMark/>
          </w:tcPr>
          <w:p w14:paraId="304A75B6"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20,2%</w:t>
            </w:r>
          </w:p>
        </w:tc>
        <w:tc>
          <w:tcPr>
            <w:tcW w:w="899" w:type="dxa"/>
            <w:tcBorders>
              <w:top w:val="nil"/>
              <w:left w:val="nil"/>
              <w:bottom w:val="single" w:sz="4" w:space="0" w:color="auto"/>
              <w:right w:val="single" w:sz="4" w:space="0" w:color="auto"/>
            </w:tcBorders>
            <w:shd w:val="clear" w:color="auto" w:fill="auto"/>
            <w:noWrap/>
            <w:vAlign w:val="bottom"/>
            <w:hideMark/>
          </w:tcPr>
          <w:p w14:paraId="3392A1EE"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-288 </w:t>
            </w:r>
          </w:p>
        </w:tc>
        <w:tc>
          <w:tcPr>
            <w:tcW w:w="981" w:type="dxa"/>
            <w:tcBorders>
              <w:top w:val="nil"/>
              <w:left w:val="nil"/>
              <w:bottom w:val="single" w:sz="4" w:space="0" w:color="auto"/>
              <w:right w:val="single" w:sz="4" w:space="0" w:color="auto"/>
            </w:tcBorders>
            <w:shd w:val="clear" w:color="auto" w:fill="auto"/>
            <w:noWrap/>
            <w:vAlign w:val="bottom"/>
            <w:hideMark/>
          </w:tcPr>
          <w:p w14:paraId="1B5B06FF"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-3,7%</w:t>
            </w:r>
          </w:p>
        </w:tc>
      </w:tr>
      <w:tr w:rsidR="006148E8" w:rsidRPr="006148E8" w14:paraId="71F561F3" w14:textId="77777777" w:rsidTr="006148E8">
        <w:trPr>
          <w:trHeight w:val="102"/>
        </w:trPr>
        <w:tc>
          <w:tcPr>
            <w:tcW w:w="5686" w:type="dxa"/>
            <w:tcBorders>
              <w:top w:val="nil"/>
              <w:left w:val="single" w:sz="4" w:space="0" w:color="auto"/>
              <w:bottom w:val="single" w:sz="4" w:space="0" w:color="auto"/>
              <w:right w:val="single" w:sz="4" w:space="0" w:color="auto"/>
            </w:tcBorders>
            <w:shd w:val="clear" w:color="auto" w:fill="auto"/>
            <w:vAlign w:val="bottom"/>
            <w:hideMark/>
          </w:tcPr>
          <w:p w14:paraId="3698DB06" w14:textId="77777777" w:rsidR="006148E8" w:rsidRPr="006148E8" w:rsidRDefault="006148E8" w:rsidP="006148E8">
            <w:pPr>
              <w:rPr>
                <w:rFonts w:eastAsia="Times New Roman" w:cstheme="majorHAnsi"/>
                <w:color w:val="000000"/>
                <w:lang w:eastAsia="it-IT"/>
              </w:rPr>
            </w:pPr>
            <w:r w:rsidRPr="006148E8">
              <w:rPr>
                <w:rFonts w:eastAsia="Times New Roman" w:cstheme="majorHAnsi"/>
                <w:color w:val="000000"/>
                <w:lang w:eastAsia="it-IT"/>
              </w:rPr>
              <w:t>Confezioni per bambini e neonati</w:t>
            </w:r>
          </w:p>
        </w:tc>
        <w:tc>
          <w:tcPr>
            <w:tcW w:w="930" w:type="dxa"/>
            <w:tcBorders>
              <w:top w:val="nil"/>
              <w:left w:val="nil"/>
              <w:bottom w:val="single" w:sz="4" w:space="0" w:color="auto"/>
              <w:right w:val="single" w:sz="4" w:space="0" w:color="auto"/>
            </w:tcBorders>
            <w:shd w:val="clear" w:color="auto" w:fill="auto"/>
            <w:noWrap/>
            <w:vAlign w:val="bottom"/>
            <w:hideMark/>
          </w:tcPr>
          <w:p w14:paraId="21173984"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-193 </w:t>
            </w:r>
          </w:p>
        </w:tc>
        <w:tc>
          <w:tcPr>
            <w:tcW w:w="1014" w:type="dxa"/>
            <w:tcBorders>
              <w:top w:val="nil"/>
              <w:left w:val="nil"/>
              <w:bottom w:val="single" w:sz="4" w:space="0" w:color="auto"/>
              <w:right w:val="single" w:sz="4" w:space="0" w:color="auto"/>
            </w:tcBorders>
            <w:shd w:val="clear" w:color="auto" w:fill="auto"/>
            <w:noWrap/>
            <w:vAlign w:val="bottom"/>
            <w:hideMark/>
          </w:tcPr>
          <w:p w14:paraId="1306499C"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-17,4%</w:t>
            </w:r>
          </w:p>
        </w:tc>
        <w:tc>
          <w:tcPr>
            <w:tcW w:w="899" w:type="dxa"/>
            <w:tcBorders>
              <w:top w:val="nil"/>
              <w:left w:val="nil"/>
              <w:bottom w:val="single" w:sz="4" w:space="0" w:color="auto"/>
              <w:right w:val="single" w:sz="4" w:space="0" w:color="auto"/>
            </w:tcBorders>
            <w:shd w:val="clear" w:color="auto" w:fill="auto"/>
            <w:noWrap/>
            <w:vAlign w:val="bottom"/>
            <w:hideMark/>
          </w:tcPr>
          <w:p w14:paraId="7342922D"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-137 </w:t>
            </w:r>
          </w:p>
        </w:tc>
        <w:tc>
          <w:tcPr>
            <w:tcW w:w="981" w:type="dxa"/>
            <w:tcBorders>
              <w:top w:val="nil"/>
              <w:left w:val="nil"/>
              <w:bottom w:val="single" w:sz="4" w:space="0" w:color="auto"/>
              <w:right w:val="single" w:sz="4" w:space="0" w:color="auto"/>
            </w:tcBorders>
            <w:shd w:val="clear" w:color="auto" w:fill="auto"/>
            <w:noWrap/>
            <w:vAlign w:val="bottom"/>
            <w:hideMark/>
          </w:tcPr>
          <w:p w14:paraId="5BEEC481"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-13,0%</w:t>
            </w:r>
          </w:p>
        </w:tc>
      </w:tr>
      <w:tr w:rsidR="006148E8" w:rsidRPr="006148E8" w14:paraId="18FCBA7C" w14:textId="77777777" w:rsidTr="006148E8">
        <w:trPr>
          <w:trHeight w:val="102"/>
        </w:trPr>
        <w:tc>
          <w:tcPr>
            <w:tcW w:w="5686" w:type="dxa"/>
            <w:tcBorders>
              <w:top w:val="nil"/>
              <w:left w:val="single" w:sz="4" w:space="0" w:color="auto"/>
              <w:bottom w:val="single" w:sz="4" w:space="0" w:color="auto"/>
              <w:right w:val="single" w:sz="4" w:space="0" w:color="auto"/>
            </w:tcBorders>
            <w:shd w:val="clear" w:color="auto" w:fill="auto"/>
            <w:vAlign w:val="bottom"/>
            <w:hideMark/>
          </w:tcPr>
          <w:p w14:paraId="6DBBA65A" w14:textId="77777777" w:rsidR="006148E8" w:rsidRPr="006148E8" w:rsidRDefault="006148E8" w:rsidP="006148E8">
            <w:pPr>
              <w:rPr>
                <w:rFonts w:eastAsia="Times New Roman" w:cstheme="majorHAnsi"/>
                <w:color w:val="000000"/>
                <w:lang w:eastAsia="it-IT"/>
              </w:rPr>
            </w:pPr>
            <w:r w:rsidRPr="006148E8">
              <w:rPr>
                <w:rFonts w:eastAsia="Times New Roman" w:cstheme="majorHAnsi"/>
                <w:color w:val="000000"/>
                <w:lang w:eastAsia="it-IT"/>
              </w:rPr>
              <w:t>Biancheria</w:t>
            </w:r>
          </w:p>
        </w:tc>
        <w:tc>
          <w:tcPr>
            <w:tcW w:w="930" w:type="dxa"/>
            <w:tcBorders>
              <w:top w:val="nil"/>
              <w:left w:val="nil"/>
              <w:bottom w:val="single" w:sz="4" w:space="0" w:color="auto"/>
              <w:right w:val="single" w:sz="4" w:space="0" w:color="auto"/>
            </w:tcBorders>
            <w:shd w:val="clear" w:color="auto" w:fill="auto"/>
            <w:noWrap/>
            <w:vAlign w:val="bottom"/>
            <w:hideMark/>
          </w:tcPr>
          <w:p w14:paraId="52E9CD4B"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-539 </w:t>
            </w:r>
          </w:p>
        </w:tc>
        <w:tc>
          <w:tcPr>
            <w:tcW w:w="1014" w:type="dxa"/>
            <w:tcBorders>
              <w:top w:val="nil"/>
              <w:left w:val="nil"/>
              <w:bottom w:val="single" w:sz="4" w:space="0" w:color="auto"/>
              <w:right w:val="single" w:sz="4" w:space="0" w:color="auto"/>
            </w:tcBorders>
            <w:shd w:val="clear" w:color="auto" w:fill="auto"/>
            <w:noWrap/>
            <w:vAlign w:val="bottom"/>
            <w:hideMark/>
          </w:tcPr>
          <w:p w14:paraId="6E75A729"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-24,8%</w:t>
            </w:r>
          </w:p>
        </w:tc>
        <w:tc>
          <w:tcPr>
            <w:tcW w:w="899" w:type="dxa"/>
            <w:tcBorders>
              <w:top w:val="nil"/>
              <w:left w:val="nil"/>
              <w:bottom w:val="single" w:sz="4" w:space="0" w:color="auto"/>
              <w:right w:val="single" w:sz="4" w:space="0" w:color="auto"/>
            </w:tcBorders>
            <w:shd w:val="clear" w:color="auto" w:fill="auto"/>
            <w:noWrap/>
            <w:vAlign w:val="bottom"/>
            <w:hideMark/>
          </w:tcPr>
          <w:p w14:paraId="329AC5D5"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-404 </w:t>
            </w:r>
          </w:p>
        </w:tc>
        <w:tc>
          <w:tcPr>
            <w:tcW w:w="981" w:type="dxa"/>
            <w:tcBorders>
              <w:top w:val="nil"/>
              <w:left w:val="nil"/>
              <w:bottom w:val="single" w:sz="4" w:space="0" w:color="auto"/>
              <w:right w:val="single" w:sz="4" w:space="0" w:color="auto"/>
            </w:tcBorders>
            <w:shd w:val="clear" w:color="auto" w:fill="auto"/>
            <w:noWrap/>
            <w:vAlign w:val="bottom"/>
            <w:hideMark/>
          </w:tcPr>
          <w:p w14:paraId="76A45278"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-19,8%</w:t>
            </w:r>
          </w:p>
        </w:tc>
      </w:tr>
      <w:tr w:rsidR="006148E8" w:rsidRPr="006148E8" w14:paraId="36F6C1D8" w14:textId="77777777" w:rsidTr="006148E8">
        <w:trPr>
          <w:trHeight w:val="268"/>
        </w:trPr>
        <w:tc>
          <w:tcPr>
            <w:tcW w:w="5686" w:type="dxa"/>
            <w:tcBorders>
              <w:top w:val="nil"/>
              <w:left w:val="single" w:sz="4" w:space="0" w:color="auto"/>
              <w:bottom w:val="single" w:sz="4" w:space="0" w:color="auto"/>
              <w:right w:val="single" w:sz="4" w:space="0" w:color="auto"/>
            </w:tcBorders>
            <w:shd w:val="clear" w:color="auto" w:fill="auto"/>
            <w:vAlign w:val="bottom"/>
            <w:hideMark/>
          </w:tcPr>
          <w:p w14:paraId="328AE850" w14:textId="77777777" w:rsidR="006148E8" w:rsidRPr="006148E8" w:rsidRDefault="006148E8" w:rsidP="006148E8">
            <w:pPr>
              <w:rPr>
                <w:rFonts w:eastAsia="Times New Roman" w:cstheme="majorHAnsi"/>
                <w:color w:val="000000"/>
                <w:lang w:eastAsia="it-IT"/>
              </w:rPr>
            </w:pPr>
            <w:r w:rsidRPr="006148E8">
              <w:rPr>
                <w:rFonts w:eastAsia="Times New Roman" w:cstheme="majorHAnsi"/>
                <w:color w:val="000000"/>
                <w:lang w:eastAsia="it-IT"/>
              </w:rPr>
              <w:t>Calzature e accessori</w:t>
            </w:r>
          </w:p>
        </w:tc>
        <w:tc>
          <w:tcPr>
            <w:tcW w:w="930" w:type="dxa"/>
            <w:tcBorders>
              <w:top w:val="nil"/>
              <w:left w:val="nil"/>
              <w:bottom w:val="single" w:sz="4" w:space="0" w:color="auto"/>
              <w:right w:val="single" w:sz="4" w:space="0" w:color="auto"/>
            </w:tcBorders>
            <w:shd w:val="clear" w:color="auto" w:fill="auto"/>
            <w:noWrap/>
            <w:vAlign w:val="bottom"/>
            <w:hideMark/>
          </w:tcPr>
          <w:p w14:paraId="15FF008F"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-815 </w:t>
            </w:r>
          </w:p>
        </w:tc>
        <w:tc>
          <w:tcPr>
            <w:tcW w:w="1014" w:type="dxa"/>
            <w:tcBorders>
              <w:top w:val="nil"/>
              <w:left w:val="nil"/>
              <w:bottom w:val="single" w:sz="4" w:space="0" w:color="auto"/>
              <w:right w:val="single" w:sz="4" w:space="0" w:color="auto"/>
            </w:tcBorders>
            <w:shd w:val="clear" w:color="auto" w:fill="auto"/>
            <w:noWrap/>
            <w:vAlign w:val="bottom"/>
            <w:hideMark/>
          </w:tcPr>
          <w:p w14:paraId="72C529F7"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-25,5%</w:t>
            </w:r>
          </w:p>
        </w:tc>
        <w:tc>
          <w:tcPr>
            <w:tcW w:w="899" w:type="dxa"/>
            <w:tcBorders>
              <w:top w:val="nil"/>
              <w:left w:val="nil"/>
              <w:bottom w:val="single" w:sz="4" w:space="0" w:color="auto"/>
              <w:right w:val="single" w:sz="4" w:space="0" w:color="auto"/>
            </w:tcBorders>
            <w:shd w:val="clear" w:color="auto" w:fill="auto"/>
            <w:noWrap/>
            <w:vAlign w:val="bottom"/>
            <w:hideMark/>
          </w:tcPr>
          <w:p w14:paraId="10E7D588"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-579 </w:t>
            </w:r>
          </w:p>
        </w:tc>
        <w:tc>
          <w:tcPr>
            <w:tcW w:w="981" w:type="dxa"/>
            <w:tcBorders>
              <w:top w:val="nil"/>
              <w:left w:val="nil"/>
              <w:bottom w:val="single" w:sz="4" w:space="0" w:color="auto"/>
              <w:right w:val="single" w:sz="4" w:space="0" w:color="auto"/>
            </w:tcBorders>
            <w:shd w:val="clear" w:color="auto" w:fill="auto"/>
            <w:noWrap/>
            <w:vAlign w:val="bottom"/>
            <w:hideMark/>
          </w:tcPr>
          <w:p w14:paraId="28F76BFE"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-19,5%</w:t>
            </w:r>
          </w:p>
        </w:tc>
      </w:tr>
      <w:tr w:rsidR="006148E8" w:rsidRPr="006148E8" w14:paraId="02886D19" w14:textId="77777777" w:rsidTr="006148E8">
        <w:trPr>
          <w:trHeight w:val="268"/>
        </w:trPr>
        <w:tc>
          <w:tcPr>
            <w:tcW w:w="5686" w:type="dxa"/>
            <w:tcBorders>
              <w:top w:val="nil"/>
              <w:left w:val="single" w:sz="4" w:space="0" w:color="auto"/>
              <w:bottom w:val="single" w:sz="4" w:space="0" w:color="auto"/>
              <w:right w:val="single" w:sz="4" w:space="0" w:color="auto"/>
            </w:tcBorders>
            <w:shd w:val="clear" w:color="auto" w:fill="auto"/>
            <w:vAlign w:val="bottom"/>
            <w:hideMark/>
          </w:tcPr>
          <w:p w14:paraId="33775BC1" w14:textId="77777777" w:rsidR="006148E8" w:rsidRPr="006148E8" w:rsidRDefault="006148E8" w:rsidP="006148E8">
            <w:pPr>
              <w:rPr>
                <w:rFonts w:eastAsia="Times New Roman" w:cstheme="majorHAnsi"/>
                <w:color w:val="000000"/>
                <w:lang w:eastAsia="it-IT"/>
              </w:rPr>
            </w:pPr>
            <w:r w:rsidRPr="006148E8">
              <w:rPr>
                <w:rFonts w:eastAsia="Times New Roman" w:cstheme="majorHAnsi"/>
                <w:color w:val="000000"/>
                <w:lang w:eastAsia="it-IT"/>
              </w:rPr>
              <w:t>Bar</w:t>
            </w:r>
          </w:p>
        </w:tc>
        <w:tc>
          <w:tcPr>
            <w:tcW w:w="930" w:type="dxa"/>
            <w:tcBorders>
              <w:top w:val="nil"/>
              <w:left w:val="nil"/>
              <w:bottom w:val="single" w:sz="4" w:space="0" w:color="auto"/>
              <w:right w:val="single" w:sz="4" w:space="0" w:color="auto"/>
            </w:tcBorders>
            <w:shd w:val="clear" w:color="auto" w:fill="auto"/>
            <w:noWrap/>
            <w:vAlign w:val="bottom"/>
            <w:hideMark/>
          </w:tcPr>
          <w:p w14:paraId="0507BE41"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-3.462 </w:t>
            </w:r>
          </w:p>
        </w:tc>
        <w:tc>
          <w:tcPr>
            <w:tcW w:w="1014" w:type="dxa"/>
            <w:tcBorders>
              <w:top w:val="nil"/>
              <w:left w:val="nil"/>
              <w:bottom w:val="single" w:sz="4" w:space="0" w:color="auto"/>
              <w:right w:val="single" w:sz="4" w:space="0" w:color="auto"/>
            </w:tcBorders>
            <w:shd w:val="clear" w:color="auto" w:fill="auto"/>
            <w:noWrap/>
            <w:vAlign w:val="bottom"/>
            <w:hideMark/>
          </w:tcPr>
          <w:p w14:paraId="151A6D80"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-11,3%</w:t>
            </w:r>
          </w:p>
        </w:tc>
        <w:tc>
          <w:tcPr>
            <w:tcW w:w="899" w:type="dxa"/>
            <w:tcBorders>
              <w:top w:val="nil"/>
              <w:left w:val="nil"/>
              <w:bottom w:val="single" w:sz="4" w:space="0" w:color="auto"/>
              <w:right w:val="single" w:sz="4" w:space="0" w:color="auto"/>
            </w:tcBorders>
            <w:shd w:val="clear" w:color="auto" w:fill="auto"/>
            <w:noWrap/>
            <w:vAlign w:val="bottom"/>
            <w:hideMark/>
          </w:tcPr>
          <w:p w14:paraId="31E78F95"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-4.334 </w:t>
            </w:r>
          </w:p>
        </w:tc>
        <w:tc>
          <w:tcPr>
            <w:tcW w:w="981" w:type="dxa"/>
            <w:tcBorders>
              <w:top w:val="nil"/>
              <w:left w:val="nil"/>
              <w:bottom w:val="single" w:sz="4" w:space="0" w:color="auto"/>
              <w:right w:val="single" w:sz="4" w:space="0" w:color="auto"/>
            </w:tcBorders>
            <w:shd w:val="clear" w:color="auto" w:fill="auto"/>
            <w:noWrap/>
            <w:vAlign w:val="bottom"/>
            <w:hideMark/>
          </w:tcPr>
          <w:p w14:paraId="1B7C16EE"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-13,7%</w:t>
            </w:r>
          </w:p>
        </w:tc>
      </w:tr>
      <w:tr w:rsidR="006148E8" w:rsidRPr="006148E8" w14:paraId="479B144E" w14:textId="77777777" w:rsidTr="006148E8">
        <w:trPr>
          <w:trHeight w:val="268"/>
        </w:trPr>
        <w:tc>
          <w:tcPr>
            <w:tcW w:w="5686" w:type="dxa"/>
            <w:tcBorders>
              <w:top w:val="nil"/>
              <w:left w:val="single" w:sz="4" w:space="0" w:color="auto"/>
              <w:bottom w:val="single" w:sz="4" w:space="0" w:color="auto"/>
              <w:right w:val="single" w:sz="4" w:space="0" w:color="auto"/>
            </w:tcBorders>
            <w:shd w:val="clear" w:color="auto" w:fill="auto"/>
            <w:vAlign w:val="bottom"/>
            <w:hideMark/>
          </w:tcPr>
          <w:p w14:paraId="46CE1A3E" w14:textId="77777777" w:rsidR="006148E8" w:rsidRPr="006148E8" w:rsidRDefault="006148E8" w:rsidP="006148E8">
            <w:pPr>
              <w:rPr>
                <w:rFonts w:eastAsia="Times New Roman" w:cstheme="majorHAnsi"/>
                <w:color w:val="000000"/>
                <w:lang w:eastAsia="it-IT"/>
              </w:rPr>
            </w:pPr>
            <w:r w:rsidRPr="006148E8">
              <w:rPr>
                <w:rFonts w:eastAsia="Times New Roman" w:cstheme="majorHAnsi"/>
                <w:color w:val="000000"/>
                <w:lang w:eastAsia="it-IT"/>
              </w:rPr>
              <w:t>Saloni di barbiere e parrucchiere</w:t>
            </w:r>
          </w:p>
        </w:tc>
        <w:tc>
          <w:tcPr>
            <w:tcW w:w="930" w:type="dxa"/>
            <w:tcBorders>
              <w:top w:val="nil"/>
              <w:left w:val="nil"/>
              <w:bottom w:val="single" w:sz="4" w:space="0" w:color="auto"/>
              <w:right w:val="single" w:sz="4" w:space="0" w:color="auto"/>
            </w:tcBorders>
            <w:shd w:val="clear" w:color="auto" w:fill="auto"/>
            <w:noWrap/>
            <w:vAlign w:val="bottom"/>
            <w:hideMark/>
          </w:tcPr>
          <w:p w14:paraId="6BD1A546"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1.093 </w:t>
            </w:r>
          </w:p>
        </w:tc>
        <w:tc>
          <w:tcPr>
            <w:tcW w:w="1014" w:type="dxa"/>
            <w:tcBorders>
              <w:top w:val="nil"/>
              <w:left w:val="nil"/>
              <w:bottom w:val="single" w:sz="4" w:space="0" w:color="auto"/>
              <w:right w:val="single" w:sz="4" w:space="0" w:color="auto"/>
            </w:tcBorders>
            <w:shd w:val="clear" w:color="auto" w:fill="auto"/>
            <w:noWrap/>
            <w:vAlign w:val="bottom"/>
            <w:hideMark/>
          </w:tcPr>
          <w:p w14:paraId="64BE5CB9"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7,0%</w:t>
            </w:r>
          </w:p>
        </w:tc>
        <w:tc>
          <w:tcPr>
            <w:tcW w:w="899" w:type="dxa"/>
            <w:tcBorders>
              <w:top w:val="nil"/>
              <w:left w:val="nil"/>
              <w:bottom w:val="single" w:sz="4" w:space="0" w:color="auto"/>
              <w:right w:val="single" w:sz="4" w:space="0" w:color="auto"/>
            </w:tcBorders>
            <w:shd w:val="clear" w:color="auto" w:fill="auto"/>
            <w:noWrap/>
            <w:vAlign w:val="bottom"/>
            <w:hideMark/>
          </w:tcPr>
          <w:p w14:paraId="75F80D6E"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 xml:space="preserve">146 </w:t>
            </w:r>
          </w:p>
        </w:tc>
        <w:tc>
          <w:tcPr>
            <w:tcW w:w="981" w:type="dxa"/>
            <w:tcBorders>
              <w:top w:val="nil"/>
              <w:left w:val="nil"/>
              <w:bottom w:val="single" w:sz="4" w:space="0" w:color="auto"/>
              <w:right w:val="single" w:sz="4" w:space="0" w:color="auto"/>
            </w:tcBorders>
            <w:shd w:val="clear" w:color="auto" w:fill="auto"/>
            <w:noWrap/>
            <w:vAlign w:val="bottom"/>
            <w:hideMark/>
          </w:tcPr>
          <w:p w14:paraId="48282833" w14:textId="77777777" w:rsidR="006148E8" w:rsidRPr="006148E8" w:rsidRDefault="006148E8" w:rsidP="006148E8">
            <w:pPr>
              <w:jc w:val="right"/>
              <w:rPr>
                <w:rFonts w:eastAsia="Times New Roman" w:cstheme="majorHAnsi"/>
                <w:color w:val="000000"/>
                <w:lang w:eastAsia="it-IT"/>
              </w:rPr>
            </w:pPr>
            <w:r w:rsidRPr="006148E8">
              <w:rPr>
                <w:rFonts w:eastAsia="Times New Roman" w:cstheme="majorHAnsi"/>
                <w:color w:val="000000"/>
                <w:lang w:eastAsia="it-IT"/>
              </w:rPr>
              <w:t>0,9%</w:t>
            </w:r>
          </w:p>
        </w:tc>
      </w:tr>
      <w:tr w:rsidR="006148E8" w:rsidRPr="006148E8" w14:paraId="430CA428" w14:textId="77777777" w:rsidTr="006148E8">
        <w:trPr>
          <w:trHeight w:val="268"/>
        </w:trPr>
        <w:tc>
          <w:tcPr>
            <w:tcW w:w="5686" w:type="dxa"/>
            <w:tcBorders>
              <w:top w:val="nil"/>
              <w:left w:val="single" w:sz="4" w:space="0" w:color="auto"/>
              <w:bottom w:val="single" w:sz="4" w:space="0" w:color="auto"/>
              <w:right w:val="single" w:sz="4" w:space="0" w:color="auto"/>
            </w:tcBorders>
            <w:shd w:val="clear" w:color="auto" w:fill="auto"/>
            <w:noWrap/>
            <w:vAlign w:val="bottom"/>
            <w:hideMark/>
          </w:tcPr>
          <w:p w14:paraId="2366BDC5" w14:textId="77777777" w:rsidR="006148E8" w:rsidRPr="006148E8" w:rsidRDefault="006148E8" w:rsidP="006148E8">
            <w:pPr>
              <w:rPr>
                <w:rFonts w:eastAsia="Times New Roman" w:cstheme="majorHAnsi"/>
                <w:b/>
                <w:bCs/>
                <w:color w:val="000000"/>
                <w:lang w:eastAsia="it-IT"/>
              </w:rPr>
            </w:pPr>
            <w:r w:rsidRPr="006148E8">
              <w:rPr>
                <w:rFonts w:eastAsia="Times New Roman" w:cstheme="majorHAnsi"/>
                <w:b/>
                <w:bCs/>
                <w:color w:val="000000"/>
                <w:lang w:eastAsia="it-IT"/>
              </w:rPr>
              <w:t>Totale</w:t>
            </w:r>
          </w:p>
        </w:tc>
        <w:tc>
          <w:tcPr>
            <w:tcW w:w="930" w:type="dxa"/>
            <w:tcBorders>
              <w:top w:val="nil"/>
              <w:left w:val="nil"/>
              <w:bottom w:val="single" w:sz="4" w:space="0" w:color="auto"/>
              <w:right w:val="single" w:sz="4" w:space="0" w:color="auto"/>
            </w:tcBorders>
            <w:shd w:val="clear" w:color="auto" w:fill="auto"/>
            <w:noWrap/>
            <w:vAlign w:val="bottom"/>
            <w:hideMark/>
          </w:tcPr>
          <w:p w14:paraId="378AE258" w14:textId="77777777" w:rsidR="006148E8" w:rsidRPr="006148E8" w:rsidRDefault="006148E8" w:rsidP="006148E8">
            <w:pPr>
              <w:jc w:val="right"/>
              <w:rPr>
                <w:rFonts w:eastAsia="Times New Roman" w:cstheme="majorHAnsi"/>
                <w:b/>
                <w:bCs/>
                <w:color w:val="000000"/>
                <w:lang w:eastAsia="it-IT"/>
              </w:rPr>
            </w:pPr>
            <w:r w:rsidRPr="006148E8">
              <w:rPr>
                <w:rFonts w:eastAsia="Times New Roman" w:cstheme="majorHAnsi"/>
                <w:b/>
                <w:bCs/>
                <w:color w:val="000000"/>
                <w:lang w:eastAsia="it-IT"/>
              </w:rPr>
              <w:t xml:space="preserve">-6.207 </w:t>
            </w:r>
          </w:p>
        </w:tc>
        <w:tc>
          <w:tcPr>
            <w:tcW w:w="1014" w:type="dxa"/>
            <w:tcBorders>
              <w:top w:val="nil"/>
              <w:left w:val="nil"/>
              <w:bottom w:val="single" w:sz="4" w:space="0" w:color="auto"/>
              <w:right w:val="single" w:sz="4" w:space="0" w:color="auto"/>
            </w:tcBorders>
            <w:shd w:val="clear" w:color="auto" w:fill="auto"/>
            <w:noWrap/>
            <w:vAlign w:val="bottom"/>
            <w:hideMark/>
          </w:tcPr>
          <w:p w14:paraId="661A1126" w14:textId="77777777" w:rsidR="006148E8" w:rsidRPr="006148E8" w:rsidRDefault="006148E8" w:rsidP="006148E8">
            <w:pPr>
              <w:jc w:val="right"/>
              <w:rPr>
                <w:rFonts w:eastAsia="Times New Roman" w:cstheme="majorHAnsi"/>
                <w:b/>
                <w:bCs/>
                <w:color w:val="000000"/>
                <w:lang w:eastAsia="it-IT"/>
              </w:rPr>
            </w:pPr>
            <w:r w:rsidRPr="006148E8">
              <w:rPr>
                <w:rFonts w:eastAsia="Times New Roman" w:cstheme="majorHAnsi"/>
                <w:b/>
                <w:bCs/>
                <w:color w:val="000000"/>
                <w:lang w:eastAsia="it-IT"/>
              </w:rPr>
              <w:t>-6,1%</w:t>
            </w:r>
          </w:p>
        </w:tc>
        <w:tc>
          <w:tcPr>
            <w:tcW w:w="899" w:type="dxa"/>
            <w:tcBorders>
              <w:top w:val="nil"/>
              <w:left w:val="nil"/>
              <w:bottom w:val="single" w:sz="4" w:space="0" w:color="auto"/>
              <w:right w:val="single" w:sz="4" w:space="0" w:color="auto"/>
            </w:tcBorders>
            <w:shd w:val="clear" w:color="auto" w:fill="auto"/>
            <w:noWrap/>
            <w:vAlign w:val="bottom"/>
            <w:hideMark/>
          </w:tcPr>
          <w:p w14:paraId="1110CE14" w14:textId="77777777" w:rsidR="006148E8" w:rsidRPr="006148E8" w:rsidRDefault="006148E8" w:rsidP="006148E8">
            <w:pPr>
              <w:jc w:val="right"/>
              <w:rPr>
                <w:rFonts w:eastAsia="Times New Roman" w:cstheme="majorHAnsi"/>
                <w:b/>
                <w:bCs/>
                <w:color w:val="000000"/>
                <w:lang w:eastAsia="it-IT"/>
              </w:rPr>
            </w:pPr>
            <w:r w:rsidRPr="006148E8">
              <w:rPr>
                <w:rFonts w:eastAsia="Times New Roman" w:cstheme="majorHAnsi"/>
                <w:b/>
                <w:bCs/>
                <w:color w:val="000000"/>
                <w:lang w:eastAsia="it-IT"/>
              </w:rPr>
              <w:t xml:space="preserve">-9.131 </w:t>
            </w:r>
          </w:p>
        </w:tc>
        <w:tc>
          <w:tcPr>
            <w:tcW w:w="981" w:type="dxa"/>
            <w:tcBorders>
              <w:top w:val="nil"/>
              <w:left w:val="nil"/>
              <w:bottom w:val="single" w:sz="4" w:space="0" w:color="auto"/>
              <w:right w:val="single" w:sz="4" w:space="0" w:color="auto"/>
            </w:tcBorders>
            <w:shd w:val="clear" w:color="auto" w:fill="auto"/>
            <w:noWrap/>
            <w:vAlign w:val="bottom"/>
            <w:hideMark/>
          </w:tcPr>
          <w:p w14:paraId="4CBE7EA0" w14:textId="77777777" w:rsidR="006148E8" w:rsidRPr="006148E8" w:rsidRDefault="006148E8" w:rsidP="006148E8">
            <w:pPr>
              <w:jc w:val="right"/>
              <w:rPr>
                <w:rFonts w:eastAsia="Times New Roman" w:cstheme="majorHAnsi"/>
                <w:b/>
                <w:bCs/>
                <w:color w:val="000000"/>
                <w:lang w:eastAsia="it-IT"/>
              </w:rPr>
            </w:pPr>
            <w:r w:rsidRPr="006148E8">
              <w:rPr>
                <w:rFonts w:eastAsia="Times New Roman" w:cstheme="majorHAnsi"/>
                <w:b/>
                <w:bCs/>
                <w:color w:val="000000"/>
                <w:lang w:eastAsia="it-IT"/>
              </w:rPr>
              <w:t>-8,7%</w:t>
            </w:r>
          </w:p>
        </w:tc>
      </w:tr>
    </w:tbl>
    <w:p w14:paraId="1B5E9F7B" w14:textId="77777777" w:rsidR="006148E8" w:rsidRPr="006148E8" w:rsidRDefault="006148E8" w:rsidP="006148E8">
      <w:pPr>
        <w:pStyle w:val="Titolo2"/>
      </w:pPr>
    </w:p>
    <w:p w14:paraId="5826AF86" w14:textId="03F2F99D" w:rsidR="001763DB" w:rsidRPr="006148E8" w:rsidRDefault="001763DB" w:rsidP="006148E8">
      <w:pPr>
        <w:pStyle w:val="Titolo2"/>
      </w:pPr>
      <w:r w:rsidRPr="006148E8">
        <w:t xml:space="preserve">Desertificazione: la ricerca di </w:t>
      </w:r>
      <w:proofErr w:type="spellStart"/>
      <w:r w:rsidRPr="006148E8">
        <w:t>Eures</w:t>
      </w:r>
      <w:proofErr w:type="spellEnd"/>
      <w:r w:rsidRPr="006148E8">
        <w:t xml:space="preserve"> per Confesercenti</w:t>
      </w:r>
    </w:p>
    <w:p w14:paraId="743052C2" w14:textId="06FAA208" w:rsidR="001763DB" w:rsidRPr="006148E8" w:rsidRDefault="001763DB" w:rsidP="006148E8">
      <w:pPr>
        <w:spacing w:after="120" w:line="276" w:lineRule="auto"/>
        <w:jc w:val="both"/>
        <w:rPr>
          <w:rFonts w:cstheme="majorHAnsi"/>
          <w:color w:val="000000" w:themeColor="text1"/>
        </w:rPr>
      </w:pPr>
      <w:r w:rsidRPr="006148E8">
        <w:rPr>
          <w:rFonts w:cstheme="majorHAnsi"/>
          <w:color w:val="000000" w:themeColor="text1"/>
        </w:rPr>
        <w:t>Il governo e la programmazione urbana e territoriale costituiscono dimensioni sempre più centrali nel determinare l’assetto delle città, dove si assiste ad una sofferenza e ad una continua riduzione della densità delle attività commerciali che si è trasformata, in molti casi, in un fenomeno di desertificazione.</w:t>
      </w:r>
    </w:p>
    <w:p w14:paraId="7CE3C779" w14:textId="55C86B03" w:rsidR="001763DB" w:rsidRPr="006148E8" w:rsidRDefault="001763DB" w:rsidP="006148E8">
      <w:pPr>
        <w:spacing w:after="120" w:line="276" w:lineRule="auto"/>
        <w:jc w:val="both"/>
        <w:rPr>
          <w:rFonts w:cstheme="majorHAnsi"/>
          <w:color w:val="000000" w:themeColor="text1"/>
        </w:rPr>
      </w:pPr>
      <w:r w:rsidRPr="006148E8">
        <w:rPr>
          <w:rFonts w:cstheme="majorHAnsi"/>
          <w:color w:val="000000" w:themeColor="text1"/>
        </w:rPr>
        <w:t>Confesercenti Nazionale ha affidato all’Istituto di ricerca economico e sociale EURES l’incarico di realizzare un articolato contributo di riflessione grazie alla raccolta delle esperienze, delle visioni e delle valutazioni di un ampio panel di Sindaci e Assessori con delega alle attività commerciali di piccoli, medi e grandi comuni italiani, distribuiti nelle tre macro-aree geografiche del Paese, per riflettere sullo stato attuale, sui mutamenti intervenuti negli ultimi anni e, soprattutto, sulle prospettive prefigurate per il commercio al dettaglio</w:t>
      </w:r>
      <w:r w:rsidR="001B59A1" w:rsidRPr="006148E8">
        <w:rPr>
          <w:rFonts w:cstheme="majorHAnsi"/>
          <w:color w:val="000000" w:themeColor="text1"/>
        </w:rPr>
        <w:t>,</w:t>
      </w:r>
      <w:r w:rsidRPr="006148E8">
        <w:rPr>
          <w:rFonts w:cstheme="majorHAnsi"/>
          <w:color w:val="000000" w:themeColor="text1"/>
        </w:rPr>
        <w:t xml:space="preserve"> nei territori di loro competenza.</w:t>
      </w:r>
    </w:p>
    <w:p w14:paraId="6677E1B8" w14:textId="77777777" w:rsidR="001763DB" w:rsidRPr="006148E8" w:rsidRDefault="001763DB" w:rsidP="006148E8">
      <w:pPr>
        <w:spacing w:after="120" w:line="276" w:lineRule="auto"/>
        <w:jc w:val="both"/>
        <w:rPr>
          <w:rFonts w:cstheme="majorHAnsi"/>
          <w:color w:val="000000" w:themeColor="text1"/>
        </w:rPr>
      </w:pPr>
      <w:r w:rsidRPr="006148E8">
        <w:rPr>
          <w:rFonts w:cstheme="majorHAnsi"/>
          <w:b/>
          <w:bCs/>
          <w:color w:val="000000" w:themeColor="text1"/>
        </w:rPr>
        <w:t>Il ruolo del commercio di prossimità nella qualità della vita e nello sviluppo economico locale</w:t>
      </w:r>
      <w:r w:rsidRPr="006148E8">
        <w:rPr>
          <w:rFonts w:cstheme="majorHAnsi"/>
          <w:b/>
          <w:bCs/>
          <w:i/>
          <w:iCs/>
          <w:color w:val="000000" w:themeColor="text1"/>
        </w:rPr>
        <w:t xml:space="preserve">. </w:t>
      </w:r>
      <w:r w:rsidRPr="006148E8">
        <w:rPr>
          <w:rFonts w:cstheme="majorHAnsi"/>
          <w:color w:val="000000" w:themeColor="text1"/>
        </w:rPr>
        <w:t xml:space="preserve">Il commercio di prossimità ha da sempre svolto un ruolo fondamentale nel tessuto economico e sociale delle città italiane. Tale importante funzione risulta unilateralmente riconosciuta da tutti i Sindaci/Assessori intervistati. Negozi di vicinato, mercati locali e botteghe storiche non solo forniscono beni e servizi essenziali ai cittadini, ma contribuiscono anche a mantenere vivo il legame sociale e culturale tra le comunità. </w:t>
      </w:r>
    </w:p>
    <w:p w14:paraId="7E88C18E" w14:textId="01FD1E16" w:rsidR="001763DB" w:rsidRPr="006148E8" w:rsidRDefault="001763DB" w:rsidP="006148E8">
      <w:pPr>
        <w:spacing w:after="120" w:line="276" w:lineRule="auto"/>
        <w:jc w:val="both"/>
        <w:rPr>
          <w:rFonts w:cstheme="majorHAnsi"/>
          <w:b/>
          <w:bCs/>
          <w:i/>
          <w:iCs/>
          <w:color w:val="000000" w:themeColor="text1"/>
        </w:rPr>
      </w:pPr>
      <w:r w:rsidRPr="006148E8">
        <w:rPr>
          <w:rFonts w:cstheme="majorHAnsi"/>
          <w:color w:val="000000" w:themeColor="text1"/>
        </w:rPr>
        <w:t xml:space="preserve">I partecipanti, infatti, evidenziano l’importante ruolo sociale che il commercio di prossimità esercita sulla vita della comunità. Secondo loro, le attività commerciali presidiano il territorio con le loro vetrine, offrendo una visione di città attiva, popolata e più sicura. Ancora, rappresentano presidi sociali reali, creano valore; contribuiscono a preservare l’idea di </w:t>
      </w:r>
      <w:r w:rsidRPr="006148E8">
        <w:rPr>
          <w:rFonts w:cstheme="majorHAnsi"/>
          <w:i/>
          <w:iCs/>
          <w:color w:val="000000" w:themeColor="text1"/>
        </w:rPr>
        <w:t>Koinè</w:t>
      </w:r>
      <w:r w:rsidRPr="006148E8">
        <w:rPr>
          <w:rFonts w:cstheme="majorHAnsi"/>
          <w:color w:val="000000" w:themeColor="text1"/>
        </w:rPr>
        <w:t xml:space="preserve"> ed </w:t>
      </w:r>
      <w:r w:rsidRPr="006148E8">
        <w:rPr>
          <w:rFonts w:cstheme="majorHAnsi"/>
          <w:i/>
          <w:iCs/>
          <w:color w:val="000000" w:themeColor="text1"/>
        </w:rPr>
        <w:t>Agorà</w:t>
      </w:r>
      <w:r w:rsidRPr="006148E8">
        <w:rPr>
          <w:rFonts w:cstheme="majorHAnsi"/>
          <w:color w:val="000000" w:themeColor="text1"/>
        </w:rPr>
        <w:t xml:space="preserve">, delle piazze e delle strade come spazi comuni vissuti </w:t>
      </w:r>
      <w:proofErr w:type="gramStart"/>
      <w:r w:rsidRPr="006148E8">
        <w:rPr>
          <w:rFonts w:cstheme="majorHAnsi"/>
          <w:color w:val="000000" w:themeColor="text1"/>
        </w:rPr>
        <w:t>e</w:t>
      </w:r>
      <w:proofErr w:type="gramEnd"/>
      <w:r w:rsidRPr="006148E8">
        <w:rPr>
          <w:rFonts w:cstheme="majorHAnsi"/>
          <w:color w:val="000000" w:themeColor="text1"/>
        </w:rPr>
        <w:t xml:space="preserve"> elementi identitari per la comunità. Se il tessuto commerciale è forte, non c’è spazio per situazioni di degrado persistenti. Molti amministratori hanno affermato che questi spazi risultano essenziali, soprattutto nei quartieri residenziali e nei centri storici, in quanto spesso sono l’unico punto di contatto per la popolazione, soprattutto anziana.</w:t>
      </w:r>
      <w:r w:rsidRPr="006148E8">
        <w:rPr>
          <w:rFonts w:cstheme="majorHAnsi"/>
          <w:b/>
          <w:bCs/>
          <w:i/>
          <w:iCs/>
          <w:color w:val="000000" w:themeColor="text1"/>
        </w:rPr>
        <w:t xml:space="preserve"> </w:t>
      </w:r>
      <w:r w:rsidRPr="006148E8">
        <w:rPr>
          <w:rFonts w:cstheme="majorHAnsi"/>
          <w:color w:val="000000" w:themeColor="text1"/>
        </w:rPr>
        <w:t xml:space="preserve">Le piccole attività impegnate nel commercio hanno inoltre un impatto positivo sul turismo e conseguentemente sull’occupazione locale, ancor di più se valorizzano prodotti e servizi locali. Il classico negozio e la piccola boutique è sempre un polo di attrazione, la cartolina che la città offre ai visitatori. Infatti, il turista, </w:t>
      </w:r>
      <w:r w:rsidRPr="006148E8">
        <w:rPr>
          <w:rFonts w:cstheme="majorHAnsi"/>
          <w:color w:val="000000" w:themeColor="text1"/>
        </w:rPr>
        <w:lastRenderedPageBreak/>
        <w:t xml:space="preserve">soprattutto straniero, è sempre alla ricerca del prodotto locale, della tradizione e del Made in </w:t>
      </w:r>
      <w:proofErr w:type="spellStart"/>
      <w:r w:rsidRPr="006148E8">
        <w:rPr>
          <w:rFonts w:cstheme="majorHAnsi"/>
          <w:color w:val="000000" w:themeColor="text1"/>
        </w:rPr>
        <w:t>Italy</w:t>
      </w:r>
      <w:proofErr w:type="spellEnd"/>
      <w:r w:rsidRPr="006148E8">
        <w:rPr>
          <w:rFonts w:cstheme="majorHAnsi"/>
          <w:color w:val="000000" w:themeColor="text1"/>
        </w:rPr>
        <w:t>, tema su cui sono incentrate, infatti, molte politiche nazionali. I piccoli negozi sono visti come parte del tessuto culturale della città, e offrono oltre che semplici prodotti di qualità, anche autentiche esperienze di acquisto.</w:t>
      </w:r>
    </w:p>
    <w:p w14:paraId="5F7650EE" w14:textId="3840838C" w:rsidR="001763DB" w:rsidRPr="006148E8" w:rsidRDefault="001763DB" w:rsidP="006148E8">
      <w:pPr>
        <w:spacing w:after="120" w:line="276" w:lineRule="auto"/>
        <w:jc w:val="both"/>
        <w:rPr>
          <w:rFonts w:cstheme="majorHAnsi"/>
          <w:b/>
          <w:bCs/>
          <w:color w:val="000000" w:themeColor="text1"/>
        </w:rPr>
      </w:pPr>
      <w:r w:rsidRPr="006148E8">
        <w:rPr>
          <w:rFonts w:cstheme="majorHAnsi"/>
          <w:b/>
          <w:bCs/>
          <w:color w:val="000000" w:themeColor="text1"/>
        </w:rPr>
        <w:t xml:space="preserve">Il ruolo effettivo e potenziale della politica. </w:t>
      </w:r>
      <w:r w:rsidRPr="006148E8">
        <w:rPr>
          <w:rFonts w:cstheme="majorHAnsi"/>
          <w:color w:val="000000" w:themeColor="text1"/>
        </w:rPr>
        <w:t xml:space="preserve">Le piccole imprese del commercio rappresentano inoltre un importante canale per la promozione delle produzioni locali e dei prodotti a chilometro zero e contribuiscono alla sostenibilità e alla valorizzazione del territorio. Diverse amministrazioni locali hanno adottato politiche volte a promuovere e sostenere i negozi di vicinato, come sgravi fiscali, incentivi per la digitalizzazione e la creazione di hub urbani. </w:t>
      </w:r>
    </w:p>
    <w:p w14:paraId="590BAD53" w14:textId="77777777" w:rsidR="001763DB" w:rsidRPr="006148E8" w:rsidRDefault="001763DB" w:rsidP="006148E8">
      <w:pPr>
        <w:spacing w:after="120" w:line="276" w:lineRule="auto"/>
        <w:jc w:val="both"/>
        <w:rPr>
          <w:rFonts w:cstheme="majorHAnsi"/>
          <w:color w:val="000000" w:themeColor="text1"/>
        </w:rPr>
      </w:pPr>
      <w:r w:rsidRPr="006148E8">
        <w:rPr>
          <w:rFonts w:cstheme="majorHAnsi"/>
          <w:color w:val="000000" w:themeColor="text1"/>
        </w:rPr>
        <w:t xml:space="preserve">Per quanto riguarda le azioni possibili che l’Amministrazione Comunale può </w:t>
      </w:r>
      <w:proofErr w:type="gramStart"/>
      <w:r w:rsidRPr="006148E8">
        <w:rPr>
          <w:rFonts w:cstheme="majorHAnsi"/>
          <w:color w:val="000000" w:themeColor="text1"/>
        </w:rPr>
        <w:t>mettere in campo</w:t>
      </w:r>
      <w:proofErr w:type="gramEnd"/>
      <w:r w:rsidRPr="006148E8">
        <w:rPr>
          <w:rFonts w:cstheme="majorHAnsi"/>
          <w:color w:val="000000" w:themeColor="text1"/>
        </w:rPr>
        <w:t xml:space="preserve"> per sostenere il commercio al dettaglio, i Sindaci/Assessori intervistati si dividono sostanzialmente in due gruppi. Uno vede lo spazio dell’azione politica estremamente limitato e non sufficiente a contrastare le tendenze del mercato libero, l’altro crede invece che la politica, locale e nazionale, possa fare da guida tramite i suoi interventi. In questo secondo caso, alcuni amministratori intervistati propongono, hanno proposto o intendono proporre iniziative per creare una piattaforma di e-commerce in cui le attività locali possano mettere in mostra la propria vetrina, favorendo la cooperazione, ma allo stesso tempo la competitività, delle imprese locali. </w:t>
      </w:r>
    </w:p>
    <w:p w14:paraId="30053473" w14:textId="4FD09919" w:rsidR="001763DB" w:rsidRPr="006148E8" w:rsidRDefault="001763DB" w:rsidP="006148E8">
      <w:pPr>
        <w:spacing w:after="120" w:line="276" w:lineRule="auto"/>
        <w:jc w:val="both"/>
        <w:rPr>
          <w:rFonts w:cstheme="majorHAnsi"/>
          <w:color w:val="000000" w:themeColor="text1"/>
        </w:rPr>
      </w:pPr>
      <w:r w:rsidRPr="006148E8">
        <w:rPr>
          <w:rFonts w:cstheme="majorHAnsi"/>
          <w:color w:val="000000" w:themeColor="text1"/>
        </w:rPr>
        <w:t>Resta in ogni caso forte il richiamo alle Istituzioni nazionali affinché, nelle politiche fiscali, sostenga</w:t>
      </w:r>
      <w:r w:rsidR="001B59A1" w:rsidRPr="006148E8">
        <w:rPr>
          <w:rFonts w:cstheme="majorHAnsi"/>
          <w:color w:val="000000" w:themeColor="text1"/>
        </w:rPr>
        <w:t>no</w:t>
      </w:r>
      <w:r w:rsidRPr="006148E8">
        <w:rPr>
          <w:rFonts w:cstheme="majorHAnsi"/>
          <w:color w:val="000000" w:themeColor="text1"/>
        </w:rPr>
        <w:t xml:space="preserve"> maggiormente il commercio di vicinato, attuando sgravi e agevolazioni fiscali, tenendo conto delle numerose difficoltà che incontrano i piccoli commercianti, ma anche e soprattutto della grande risorsa che questi rappresentano per il territorio.</w:t>
      </w:r>
    </w:p>
    <w:p w14:paraId="52B9FDD0" w14:textId="5677428A" w:rsidR="001763DB" w:rsidRPr="006148E8" w:rsidRDefault="001763DB" w:rsidP="006148E8">
      <w:pPr>
        <w:spacing w:after="120" w:line="276" w:lineRule="auto"/>
        <w:jc w:val="both"/>
        <w:rPr>
          <w:rFonts w:cstheme="majorHAnsi"/>
          <w:b/>
          <w:bCs/>
          <w:color w:val="000000" w:themeColor="text1"/>
        </w:rPr>
      </w:pPr>
      <w:r w:rsidRPr="006148E8">
        <w:rPr>
          <w:rFonts w:cstheme="majorHAnsi"/>
          <w:b/>
          <w:bCs/>
          <w:color w:val="000000" w:themeColor="text1"/>
        </w:rPr>
        <w:t xml:space="preserve">Il futuro del commercio nei prossimi 5-10 anni. </w:t>
      </w:r>
      <w:r w:rsidRPr="006148E8">
        <w:rPr>
          <w:rFonts w:cstheme="majorHAnsi"/>
          <w:color w:val="000000" w:themeColor="text1"/>
        </w:rPr>
        <w:t xml:space="preserve">Per quanto riguarda il prossimo futuro, gli amministratori locali sono ben consapevoli che tanto dipenderà dall’andamento del mercato e dalle politiche nazionali ed europee. </w:t>
      </w:r>
    </w:p>
    <w:p w14:paraId="011CF8B3" w14:textId="2A90C994" w:rsidR="000A6F39" w:rsidRDefault="001763DB" w:rsidP="006148E8">
      <w:pPr>
        <w:spacing w:after="120" w:line="276" w:lineRule="auto"/>
        <w:jc w:val="both"/>
        <w:rPr>
          <w:rFonts w:cstheme="majorHAnsi"/>
          <w:color w:val="000000" w:themeColor="text1"/>
        </w:rPr>
      </w:pPr>
      <w:r w:rsidRPr="006148E8">
        <w:rPr>
          <w:rFonts w:cstheme="majorHAnsi"/>
          <w:color w:val="000000" w:themeColor="text1"/>
        </w:rPr>
        <w:t xml:space="preserve">Fondamentale in questo senso, è riuscire a bilanciare correttamente l’offerta tra residenti e turisti: gli amministratori intervistati (soprattutto dei comuni con alto indice di </w:t>
      </w:r>
      <w:proofErr w:type="spellStart"/>
      <w:r w:rsidRPr="006148E8">
        <w:rPr>
          <w:rFonts w:cstheme="majorHAnsi"/>
          <w:color w:val="000000" w:themeColor="text1"/>
        </w:rPr>
        <w:t>turisticità</w:t>
      </w:r>
      <w:proofErr w:type="spellEnd"/>
      <w:r w:rsidRPr="006148E8">
        <w:rPr>
          <w:rFonts w:cstheme="majorHAnsi"/>
          <w:color w:val="000000" w:themeColor="text1"/>
        </w:rPr>
        <w:t xml:space="preserve">) precisano che è sui primi che ci si deve soffermare maggiormente, perché spesso i distretti commerciali rivolti esclusivamente ai turisti, seppur economicamente floridi, hanno interamente perso ogni altra funzione sociale e frequentemente diventano luoghi di impoverimento sociale e culturale, oltre che di degrado. </w:t>
      </w:r>
    </w:p>
    <w:p w14:paraId="015469EC" w14:textId="77777777" w:rsidR="006148E8" w:rsidRPr="006148E8" w:rsidRDefault="006148E8" w:rsidP="006148E8">
      <w:pPr>
        <w:spacing w:after="120" w:line="276" w:lineRule="auto"/>
        <w:jc w:val="both"/>
        <w:rPr>
          <w:rFonts w:cstheme="majorHAnsi"/>
          <w:color w:val="000000" w:themeColor="text1"/>
        </w:rPr>
      </w:pPr>
    </w:p>
    <w:p w14:paraId="1338E1CA" w14:textId="2A150D26" w:rsidR="001763DB" w:rsidRPr="006148E8" w:rsidRDefault="001763DB" w:rsidP="006148E8">
      <w:pPr>
        <w:pStyle w:val="Titolo2"/>
      </w:pPr>
      <w:r w:rsidRPr="006148E8">
        <w:t>Desertificazione, che fare? Le proposte Confesercenti</w:t>
      </w:r>
    </w:p>
    <w:p w14:paraId="24D256EE" w14:textId="108E295B" w:rsidR="001763DB" w:rsidRPr="006148E8" w:rsidRDefault="001763DB" w:rsidP="006148E8">
      <w:pPr>
        <w:spacing w:after="120" w:line="276" w:lineRule="auto"/>
        <w:jc w:val="both"/>
        <w:rPr>
          <w:rFonts w:cstheme="majorHAnsi"/>
          <w:b/>
          <w:bCs/>
          <w:color w:val="000000" w:themeColor="text1"/>
        </w:rPr>
      </w:pPr>
      <w:r w:rsidRPr="006148E8">
        <w:rPr>
          <w:rFonts w:cstheme="majorHAnsi"/>
          <w:b/>
          <w:bCs/>
          <w:color w:val="000000" w:themeColor="text1"/>
        </w:rPr>
        <w:t xml:space="preserve">Desertificazione: cosa è realisticamente possibile fare oggi? </w:t>
      </w:r>
      <w:r w:rsidRPr="006148E8">
        <w:rPr>
          <w:rFonts w:cstheme="majorHAnsi"/>
          <w:color w:val="000000" w:themeColor="text1"/>
        </w:rPr>
        <w:t xml:space="preserve">Partiamo dal 1998. L’allora ministro dell’industria, del commercio e dell’artigianato Pier Luigi Bersani, nel prendere atto dei grandi processi di trasformazione del comparto della distribuzione commerciale, e in particolare le crescenti difficoltà dei piccoli esercizi nel reggere la concorrenza con la grande distribuzione, decide di creare per legge uno scivolo di prepensionamento per gli imprenditori </w:t>
      </w:r>
      <w:r w:rsidRPr="006148E8">
        <w:rPr>
          <w:rFonts w:cstheme="majorHAnsi"/>
          <w:color w:val="000000" w:themeColor="text1"/>
        </w:rPr>
        <w:lastRenderedPageBreak/>
        <w:t xml:space="preserve">più anziani. </w:t>
      </w:r>
      <w:r w:rsidRPr="006148E8">
        <w:rPr>
          <w:rFonts w:cstheme="majorHAnsi"/>
          <w:b/>
          <w:bCs/>
          <w:color w:val="000000" w:themeColor="text1"/>
        </w:rPr>
        <w:t xml:space="preserve"> </w:t>
      </w:r>
      <w:r w:rsidRPr="006148E8">
        <w:rPr>
          <w:rFonts w:cstheme="majorHAnsi"/>
          <w:color w:val="000000" w:themeColor="text1"/>
        </w:rPr>
        <w:t>È la cosiddetta rottamazione delle licenze, le cui risorse arrivano dagli esercenti in attività, che hanno pagato e stanno pagando la misura</w:t>
      </w:r>
      <w:r w:rsidR="001B59A1" w:rsidRPr="006148E8">
        <w:rPr>
          <w:rFonts w:cstheme="majorHAnsi"/>
          <w:color w:val="000000" w:themeColor="text1"/>
        </w:rPr>
        <w:t>,</w:t>
      </w:r>
      <w:r w:rsidRPr="006148E8">
        <w:rPr>
          <w:rFonts w:cstheme="majorHAnsi"/>
          <w:color w:val="000000" w:themeColor="text1"/>
        </w:rPr>
        <w:t xml:space="preserve"> con una maggiorazione sui versamenti previdenziali. Da allora, il provvedimento è costato circa </w:t>
      </w:r>
      <w:proofErr w:type="gramStart"/>
      <w:r w:rsidRPr="006148E8">
        <w:rPr>
          <w:rFonts w:cstheme="majorHAnsi"/>
          <w:color w:val="000000" w:themeColor="text1"/>
        </w:rPr>
        <w:t>6</w:t>
      </w:r>
      <w:proofErr w:type="gramEnd"/>
      <w:r w:rsidRPr="006148E8">
        <w:rPr>
          <w:rFonts w:cstheme="majorHAnsi"/>
          <w:color w:val="000000" w:themeColor="text1"/>
        </w:rPr>
        <w:t xml:space="preserve"> miliardi di euro. </w:t>
      </w:r>
    </w:p>
    <w:p w14:paraId="345DA36E" w14:textId="77777777" w:rsidR="001763DB" w:rsidRPr="006148E8" w:rsidRDefault="001763DB" w:rsidP="006148E8">
      <w:pPr>
        <w:spacing w:after="120" w:line="276" w:lineRule="auto"/>
        <w:jc w:val="both"/>
        <w:rPr>
          <w:rFonts w:cstheme="majorHAnsi"/>
          <w:color w:val="000000" w:themeColor="text1"/>
        </w:rPr>
      </w:pPr>
      <w:r w:rsidRPr="006148E8">
        <w:rPr>
          <w:rFonts w:cstheme="majorHAnsi"/>
          <w:b/>
          <w:bCs/>
          <w:color w:val="000000" w:themeColor="text1"/>
        </w:rPr>
        <w:t>Dalla rottamazione alla rigenerazione.</w:t>
      </w:r>
      <w:r w:rsidRPr="006148E8">
        <w:rPr>
          <w:rFonts w:cstheme="majorHAnsi"/>
          <w:color w:val="000000" w:themeColor="text1"/>
        </w:rPr>
        <w:t xml:space="preserve"> Dopo un quarto di secolo, ci troviamo nella condizione opposta a quella immaginata. Allora si riteneva ineluttabile ed anzi positivo un processo di “modernizzazione” del sistema commerciale, con un aumento della presenza della grande distribuzione organizzata e una riduzione della rete dei negozi. L’eCommerce non era ancora considerato, viste le quote di mercato che, all’epoca, erano irrilevanti o quasi. </w:t>
      </w:r>
    </w:p>
    <w:p w14:paraId="07538AEE" w14:textId="4E0683F7" w:rsidR="001763DB" w:rsidRPr="006148E8" w:rsidRDefault="001763DB" w:rsidP="006148E8">
      <w:pPr>
        <w:spacing w:after="120" w:line="276" w:lineRule="auto"/>
        <w:jc w:val="both"/>
        <w:rPr>
          <w:rFonts w:cstheme="majorHAnsi"/>
          <w:color w:val="000000" w:themeColor="text1"/>
        </w:rPr>
      </w:pPr>
      <w:r w:rsidRPr="006148E8">
        <w:rPr>
          <w:rFonts w:cstheme="majorHAnsi"/>
          <w:color w:val="000000" w:themeColor="text1"/>
        </w:rPr>
        <w:t xml:space="preserve">Uno scenario che non si è realizzato. Dopo una lunga espansione, infatti, anche la GDO ha iniziato a ritirarsi: rispetto al 2019, i supermercati si riducono di 418 unità, con una </w:t>
      </w:r>
      <w:r w:rsidR="001B59A1" w:rsidRPr="006148E8">
        <w:rPr>
          <w:rFonts w:cstheme="majorHAnsi"/>
          <w:color w:val="000000" w:themeColor="text1"/>
        </w:rPr>
        <w:t>diminuzione</w:t>
      </w:r>
      <w:r w:rsidRPr="006148E8">
        <w:rPr>
          <w:rFonts w:cstheme="majorHAnsi"/>
          <w:color w:val="000000" w:themeColor="text1"/>
        </w:rPr>
        <w:t xml:space="preserve"> concentrata nelle grandi città (-124) e nei centri medio-piccoli (-134). Allo stesso tempo, il web ha messo a segno una crescita straordinaria, che ha cambiato completamente il paradigma del commercio.</w:t>
      </w:r>
    </w:p>
    <w:p w14:paraId="2B058961" w14:textId="77777777" w:rsidR="001763DB" w:rsidRPr="006148E8" w:rsidRDefault="001763DB" w:rsidP="006148E8">
      <w:pPr>
        <w:spacing w:after="120" w:line="276" w:lineRule="auto"/>
        <w:jc w:val="both"/>
        <w:rPr>
          <w:rFonts w:cstheme="majorHAnsi"/>
          <w:color w:val="000000" w:themeColor="text1"/>
        </w:rPr>
      </w:pPr>
      <w:r w:rsidRPr="006148E8">
        <w:rPr>
          <w:rFonts w:cstheme="majorHAnsi"/>
          <w:color w:val="000000" w:themeColor="text1"/>
        </w:rPr>
        <w:t xml:space="preserve">La conseguente riduzione dei punti vendita sul territorio non è solo un problema economico ma anche sociale: abbiamo tutti, ora più che mai, bisogno di accedere ai servizi di base. Servono politiche mirate al sostegno delle imprese di vicinato e a favorire politiche di rigenerazione, a partire da un </w:t>
      </w:r>
      <w:r w:rsidRPr="006148E8">
        <w:rPr>
          <w:rFonts w:cstheme="majorHAnsi"/>
          <w:i/>
          <w:iCs/>
          <w:color w:val="000000" w:themeColor="text1"/>
        </w:rPr>
        <w:t>regime fiscale di vantaggio</w:t>
      </w:r>
      <w:r w:rsidRPr="006148E8">
        <w:rPr>
          <w:rFonts w:cstheme="majorHAnsi"/>
          <w:color w:val="000000" w:themeColor="text1"/>
        </w:rPr>
        <w:t xml:space="preserve"> per i servizi di base nei comuni che più stanno sperimentando la desertificazione. </w:t>
      </w:r>
    </w:p>
    <w:p w14:paraId="0E741B91" w14:textId="6B018726" w:rsidR="001763DB" w:rsidRPr="006148E8" w:rsidRDefault="001763DB" w:rsidP="006148E8">
      <w:pPr>
        <w:spacing w:after="120" w:line="276" w:lineRule="auto"/>
        <w:jc w:val="both"/>
        <w:rPr>
          <w:rFonts w:cstheme="majorHAnsi"/>
          <w:color w:val="000000" w:themeColor="text1"/>
        </w:rPr>
      </w:pPr>
      <w:r w:rsidRPr="006148E8">
        <w:rPr>
          <w:rFonts w:cstheme="majorHAnsi"/>
          <w:b/>
          <w:bCs/>
          <w:color w:val="000000" w:themeColor="text1"/>
        </w:rPr>
        <w:t>Prima l’Europa.</w:t>
      </w:r>
      <w:r w:rsidRPr="006148E8">
        <w:rPr>
          <w:rFonts w:cstheme="majorHAnsi"/>
          <w:color w:val="000000" w:themeColor="text1"/>
        </w:rPr>
        <w:t xml:space="preserve"> Per farlo, abbiamo necessità, in primo luogo, di coinvolgere l’Europa. Ci sono risorse e fondi agevolati che vanno utilizzati a questo scopo, ricordando che la stessa UE è scesa in campo per il piccolo commercio. L’istituzione della “</w:t>
      </w:r>
      <w:r w:rsidRPr="006148E8">
        <w:rPr>
          <w:rFonts w:cstheme="majorHAnsi"/>
          <w:i/>
          <w:iCs/>
          <w:color w:val="000000" w:themeColor="text1"/>
        </w:rPr>
        <w:t>Capitale Europea del Commercio del Territorio</w:t>
      </w:r>
      <w:r w:rsidRPr="006148E8">
        <w:rPr>
          <w:rFonts w:cstheme="majorHAnsi"/>
          <w:color w:val="000000" w:themeColor="text1"/>
        </w:rPr>
        <w:t>”, approvata dal Parlamento Europeo nel gennaio 2023, è stato uno dei più significativi atti europei del riconoscimento dell’importanza sociale, oltreché economica, del commercio di vicinato. Confesercenti lo ha promosso, attraverso “</w:t>
      </w:r>
      <w:proofErr w:type="spellStart"/>
      <w:r w:rsidRPr="006148E8">
        <w:rPr>
          <w:rFonts w:cstheme="majorHAnsi"/>
          <w:color w:val="000000" w:themeColor="text1"/>
        </w:rPr>
        <w:t>Vitrines</w:t>
      </w:r>
      <w:proofErr w:type="spellEnd"/>
      <w:r w:rsidRPr="006148E8">
        <w:rPr>
          <w:rFonts w:cstheme="majorHAnsi"/>
          <w:color w:val="000000" w:themeColor="text1"/>
        </w:rPr>
        <w:t xml:space="preserve"> d’Europe”, sottoponendo la proposta alla Commissione per le petizioni</w:t>
      </w:r>
      <w:r w:rsidR="001B59A1" w:rsidRPr="006148E8">
        <w:rPr>
          <w:rFonts w:cstheme="majorHAnsi"/>
          <w:color w:val="000000" w:themeColor="text1"/>
        </w:rPr>
        <w:t>,</w:t>
      </w:r>
      <w:r w:rsidRPr="006148E8">
        <w:rPr>
          <w:rFonts w:cstheme="majorHAnsi"/>
          <w:color w:val="000000" w:themeColor="text1"/>
        </w:rPr>
        <w:t xml:space="preserve"> per poi approdare alla sede plenaria come risoluzione.</w:t>
      </w:r>
    </w:p>
    <w:p w14:paraId="17524E8A" w14:textId="77777777" w:rsidR="001763DB" w:rsidRPr="006148E8" w:rsidRDefault="001763DB" w:rsidP="006148E8">
      <w:pPr>
        <w:spacing w:after="120" w:line="276" w:lineRule="auto"/>
        <w:jc w:val="both"/>
        <w:rPr>
          <w:rFonts w:cstheme="majorHAnsi"/>
          <w:color w:val="000000" w:themeColor="text1"/>
        </w:rPr>
      </w:pPr>
      <w:r w:rsidRPr="006148E8">
        <w:rPr>
          <w:rFonts w:cstheme="majorHAnsi"/>
          <w:color w:val="000000" w:themeColor="text1"/>
        </w:rPr>
        <w:t>Lo scopo del progetto è quello di far capire maggiormente anche a livello europeo l’importanza del commercio urbano e di prossimità, non solo dal punto di vista economico, ma anche dal punto di vista sociale, della qualità della vita delle città e della loro vivibilità e sicurezza. Di questi temi se ne parla spesso tra addetti ai lavori e in ambito accademico, ma purtroppo assumono una dimensione pubblica soprattutto quando ci sono situazioni di emergenza, come nel caso della pandemia da Covid-19, in cui viene riscoperto il valore della prossimità, mentre invece dovrebbe far parte del nostro modello di vita se vogliamo città più sostenibili e con un servizio diffuso sul territorio, auspicabilmente a poche centinaia di metri dalle residenze.</w:t>
      </w:r>
    </w:p>
    <w:p w14:paraId="4B9BB4D6" w14:textId="2E90047B" w:rsidR="001763DB" w:rsidRPr="006148E8" w:rsidRDefault="001763DB" w:rsidP="006148E8">
      <w:pPr>
        <w:spacing w:after="120" w:line="276" w:lineRule="auto"/>
        <w:jc w:val="both"/>
        <w:rPr>
          <w:rFonts w:cstheme="majorHAnsi"/>
          <w:color w:val="000000" w:themeColor="text1"/>
        </w:rPr>
      </w:pPr>
      <w:r w:rsidRPr="006148E8">
        <w:rPr>
          <w:rFonts w:cstheme="majorHAnsi"/>
          <w:color w:val="000000" w:themeColor="text1"/>
        </w:rPr>
        <w:t>La città che sarà designata, di anno in anno e a rotazione, Capitale europea del commercio locale, dovrebbe ospitare una serie di eventi, iniziative culturali e commerciali, workshop, convegni, laboratori per scambi di esperienze, attività formative ecc. che serviranno a diffondere maggiormente la cultura della prossimità e a sensibilizzare ulteriormente le stesse istituzioni dei paesi europei</w:t>
      </w:r>
      <w:r w:rsidR="001B59A1" w:rsidRPr="006148E8">
        <w:rPr>
          <w:rFonts w:cstheme="majorHAnsi"/>
          <w:color w:val="000000" w:themeColor="text1"/>
        </w:rPr>
        <w:t xml:space="preserve">, </w:t>
      </w:r>
      <w:r w:rsidRPr="006148E8">
        <w:rPr>
          <w:rFonts w:cstheme="majorHAnsi"/>
          <w:color w:val="000000" w:themeColor="text1"/>
        </w:rPr>
        <w:t>a tutti i livelli.</w:t>
      </w:r>
    </w:p>
    <w:p w14:paraId="2F755221" w14:textId="77777777" w:rsidR="001763DB" w:rsidRPr="006148E8" w:rsidRDefault="001763DB" w:rsidP="006148E8">
      <w:pPr>
        <w:spacing w:after="120" w:line="276" w:lineRule="auto"/>
        <w:jc w:val="both"/>
        <w:rPr>
          <w:rFonts w:cstheme="majorHAnsi"/>
          <w:color w:val="000000" w:themeColor="text1"/>
        </w:rPr>
      </w:pPr>
      <w:r w:rsidRPr="006148E8">
        <w:rPr>
          <w:rFonts w:cstheme="majorHAnsi"/>
          <w:color w:val="000000" w:themeColor="text1"/>
        </w:rPr>
        <w:lastRenderedPageBreak/>
        <w:t>Questo impegno si deve però concretizzare. Invitiamo la Commissione e gli Stati membri a sostenere e aiutare attivamente i piccoli dettaglianti in tutte le fasi della loro attività, per garantire la sostenibilità del settore in un momento particolarmente complesso, anche con fondi e aiuti supplementari per la sopravvivenza del commercio al dettaglio nell’Unione Europea, dove rappresenta l’11,5% del valore aggiunto e impiega direttamente oltre 29 milioni di persone.</w:t>
      </w:r>
    </w:p>
    <w:p w14:paraId="42DC9467" w14:textId="77777777" w:rsidR="001763DB" w:rsidRPr="006148E8" w:rsidRDefault="001763DB" w:rsidP="006148E8">
      <w:pPr>
        <w:spacing w:after="120" w:line="276" w:lineRule="auto"/>
        <w:jc w:val="both"/>
        <w:rPr>
          <w:rFonts w:cstheme="majorHAnsi"/>
          <w:color w:val="000000" w:themeColor="text1"/>
        </w:rPr>
      </w:pPr>
      <w:r w:rsidRPr="006148E8">
        <w:rPr>
          <w:rFonts w:cstheme="majorHAnsi"/>
          <w:b/>
          <w:bCs/>
          <w:color w:val="000000" w:themeColor="text1"/>
        </w:rPr>
        <w:t xml:space="preserve">Il ruolo dell’Italia: una </w:t>
      </w:r>
      <w:proofErr w:type="spellStart"/>
      <w:r w:rsidRPr="006148E8">
        <w:rPr>
          <w:rFonts w:cstheme="majorHAnsi"/>
          <w:b/>
          <w:bCs/>
          <w:color w:val="000000" w:themeColor="text1"/>
        </w:rPr>
        <w:t>flat</w:t>
      </w:r>
      <w:proofErr w:type="spellEnd"/>
      <w:r w:rsidRPr="006148E8">
        <w:rPr>
          <w:rFonts w:cstheme="majorHAnsi"/>
          <w:b/>
          <w:bCs/>
          <w:color w:val="000000" w:themeColor="text1"/>
        </w:rPr>
        <w:t xml:space="preserve"> tax anti-desertificazione.</w:t>
      </w:r>
      <w:r w:rsidRPr="006148E8">
        <w:rPr>
          <w:rFonts w:cstheme="majorHAnsi"/>
          <w:color w:val="000000" w:themeColor="text1"/>
        </w:rPr>
        <w:t xml:space="preserve"> Chi avvia un’impresa in un’area ad alta desertificazione commerciale – e sostiene quindi i costi incomprimibili legati allo start up di un’attività – dovrebbe poter usufruire di un regime fiscale e burocratico di vantaggio, una </w:t>
      </w:r>
      <w:proofErr w:type="spellStart"/>
      <w:r w:rsidRPr="006148E8">
        <w:rPr>
          <w:rFonts w:cstheme="majorHAnsi"/>
          <w:color w:val="000000" w:themeColor="text1"/>
        </w:rPr>
        <w:t>flat</w:t>
      </w:r>
      <w:proofErr w:type="spellEnd"/>
      <w:r w:rsidRPr="006148E8">
        <w:rPr>
          <w:rFonts w:cstheme="majorHAnsi"/>
          <w:color w:val="000000" w:themeColor="text1"/>
        </w:rPr>
        <w:t xml:space="preserve"> tax accompagnata dall’alleggerimento degli oneri amministrativi. Un sostegno mirato per permettere alle PMI dei territori più desertificati di superare ostacoli e difficoltà nella loro trasformazione digitale. </w:t>
      </w:r>
    </w:p>
    <w:p w14:paraId="7D42F0D6" w14:textId="16CBBD90" w:rsidR="001763DB" w:rsidRPr="006148E8" w:rsidRDefault="001763DB" w:rsidP="006148E8">
      <w:pPr>
        <w:spacing w:after="120" w:line="276" w:lineRule="auto"/>
        <w:jc w:val="both"/>
        <w:rPr>
          <w:rFonts w:cstheme="majorHAnsi"/>
          <w:b/>
          <w:bCs/>
          <w:color w:val="000000" w:themeColor="text1"/>
        </w:rPr>
      </w:pPr>
      <w:r w:rsidRPr="006148E8">
        <w:rPr>
          <w:rFonts w:cstheme="majorHAnsi"/>
          <w:b/>
          <w:bCs/>
          <w:color w:val="000000" w:themeColor="text1"/>
        </w:rPr>
        <w:t xml:space="preserve">La prima legge annuale per le Piccole e medie imprese. </w:t>
      </w:r>
      <w:r w:rsidRPr="006148E8">
        <w:rPr>
          <w:rFonts w:cstheme="majorHAnsi"/>
          <w:color w:val="000000" w:themeColor="text1"/>
        </w:rPr>
        <w:t>L’arrivo della Legge Annuale per le PMI, annunciata dal Ministro Urso ad inizio anno, è una piccola rivoluzione: la legge annuale – che, tra le altre cose, dovrebbe verificare l’impatto delle nuove normative e promuovere lo sviluppo delle micro, piccole e medie attività – era prevista fin dal 2011, ma è fino ad oggi rimasta lettera morta. L’auspicio è che possa essere il veicolo per un primo intervento di contrasto alla desertificazione commerciale.</w:t>
      </w:r>
    </w:p>
    <w:p w14:paraId="0C1E42EC" w14:textId="77777777" w:rsidR="001763DB" w:rsidRPr="006148E8" w:rsidRDefault="001763DB" w:rsidP="006148E8">
      <w:pPr>
        <w:spacing w:after="120" w:line="276" w:lineRule="auto"/>
        <w:jc w:val="both"/>
        <w:rPr>
          <w:rFonts w:cstheme="majorHAnsi"/>
          <w:color w:val="000000" w:themeColor="text1"/>
        </w:rPr>
      </w:pPr>
      <w:r w:rsidRPr="006148E8">
        <w:rPr>
          <w:rFonts w:cstheme="majorHAnsi"/>
          <w:b/>
          <w:bCs/>
          <w:color w:val="000000" w:themeColor="text1"/>
        </w:rPr>
        <w:t>Poteri speciali ai sindaci.</w:t>
      </w:r>
      <w:r w:rsidRPr="006148E8">
        <w:rPr>
          <w:rFonts w:cstheme="majorHAnsi"/>
          <w:color w:val="000000" w:themeColor="text1"/>
        </w:rPr>
        <w:t xml:space="preserve"> Si dovrebbero dare ai sindaci maggiori poteri e strumenti per promuovere iniziative di contrasto alla desertificazione commerciale nei loro comuni, favorendo lo sviluppo economico locale, incentivando la nascita e il mantenimento delle attività commerciali e creando un ambiente favorevole per il commercio di prossimità. I sindaci avranno il potere di destinare queste risorse a specifiche misure locali, e gli stessi saranno chiamati a individuare quali sono le imprese commerciali di base necessarie al territorio. </w:t>
      </w:r>
    </w:p>
    <w:p w14:paraId="7FFA10E7" w14:textId="47E6F7BC" w:rsidR="001763DB" w:rsidRPr="006148E8" w:rsidRDefault="001763DB" w:rsidP="006148E8">
      <w:pPr>
        <w:spacing w:after="120" w:line="276" w:lineRule="auto"/>
        <w:jc w:val="both"/>
        <w:rPr>
          <w:rFonts w:cstheme="majorHAnsi"/>
          <w:color w:val="000000" w:themeColor="text1"/>
        </w:rPr>
      </w:pPr>
      <w:r w:rsidRPr="006148E8">
        <w:rPr>
          <w:rFonts w:cstheme="majorHAnsi"/>
          <w:b/>
          <w:bCs/>
          <w:color w:val="000000" w:themeColor="text1"/>
        </w:rPr>
        <w:t>Un Fondo</w:t>
      </w:r>
      <w:r w:rsidR="005A113E" w:rsidRPr="006148E8">
        <w:rPr>
          <w:rFonts w:cstheme="majorHAnsi"/>
          <w:b/>
          <w:bCs/>
          <w:color w:val="000000" w:themeColor="text1"/>
        </w:rPr>
        <w:t xml:space="preserve"> per</w:t>
      </w:r>
      <w:r w:rsidRPr="006148E8">
        <w:rPr>
          <w:rFonts w:cstheme="majorHAnsi"/>
          <w:b/>
          <w:bCs/>
          <w:color w:val="000000" w:themeColor="text1"/>
        </w:rPr>
        <w:t xml:space="preserve"> la rigenerazione.</w:t>
      </w:r>
      <w:r w:rsidRPr="006148E8">
        <w:rPr>
          <w:rFonts w:cstheme="majorHAnsi"/>
          <w:color w:val="000000" w:themeColor="text1"/>
        </w:rPr>
        <w:t xml:space="preserve"> Per sostenere queste misure, proponiamo l’istituzione di un </w:t>
      </w:r>
      <w:r w:rsidRPr="006148E8">
        <w:rPr>
          <w:rFonts w:cstheme="majorHAnsi"/>
          <w:i/>
          <w:iCs/>
          <w:color w:val="000000" w:themeColor="text1"/>
        </w:rPr>
        <w:t>Fondo per la rigenerazione urbana</w:t>
      </w:r>
      <w:r w:rsidRPr="006148E8">
        <w:rPr>
          <w:rFonts w:cstheme="majorHAnsi"/>
          <w:color w:val="000000" w:themeColor="text1"/>
        </w:rPr>
        <w:t>, alimentato in parte dai contributi che i commercianti già versano per la rottamazione delle licenze, in parte da una nuova addizionale web: un’imposta nazionale da applicare sulle vendite concluse dai grandi operatori internazionali del commercio elettronico. Il fondo servirà ai comuni per finanziare progetti di rigenerazione del commercio locale e iniziative di sostegno al commercio di prossimità. Secondo nostre stime, con un’aliquota dell’1% applicata alla parte di fatturato realizzato dalle grandi imprese straniere, si potrebbero ottenere circa 400 milioni di euro.</w:t>
      </w:r>
    </w:p>
    <w:p w14:paraId="7B667639" w14:textId="77777777" w:rsidR="001763DB" w:rsidRPr="006148E8" w:rsidRDefault="001763DB" w:rsidP="006148E8">
      <w:pPr>
        <w:spacing w:after="120" w:line="276" w:lineRule="auto"/>
        <w:jc w:val="both"/>
        <w:rPr>
          <w:b/>
          <w:bCs/>
          <w:color w:val="000000" w:themeColor="text1"/>
        </w:rPr>
      </w:pPr>
    </w:p>
    <w:sectPr w:rsidR="001763DB" w:rsidRPr="006148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77116"/>
    <w:multiLevelType w:val="hybridMultilevel"/>
    <w:tmpl w:val="46884D12"/>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5563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39"/>
    <w:rsid w:val="000153D8"/>
    <w:rsid w:val="000A6F39"/>
    <w:rsid w:val="000B3879"/>
    <w:rsid w:val="001763DB"/>
    <w:rsid w:val="001B59A1"/>
    <w:rsid w:val="00246281"/>
    <w:rsid w:val="002907A1"/>
    <w:rsid w:val="00394C7E"/>
    <w:rsid w:val="003A1896"/>
    <w:rsid w:val="005A113E"/>
    <w:rsid w:val="006148E8"/>
    <w:rsid w:val="0086262D"/>
    <w:rsid w:val="00932761"/>
    <w:rsid w:val="00985130"/>
    <w:rsid w:val="009C7CDA"/>
    <w:rsid w:val="00A078D9"/>
    <w:rsid w:val="00A91E87"/>
    <w:rsid w:val="00B3766A"/>
    <w:rsid w:val="00B530FB"/>
    <w:rsid w:val="00CB3DDA"/>
    <w:rsid w:val="00CC226D"/>
    <w:rsid w:val="00CE4B7E"/>
    <w:rsid w:val="00D839B6"/>
    <w:rsid w:val="00DE7EA3"/>
    <w:rsid w:val="00E171AA"/>
    <w:rsid w:val="00E43951"/>
    <w:rsid w:val="00E8023C"/>
    <w:rsid w:val="00F335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E547"/>
  <w15:chartTrackingRefBased/>
  <w15:docId w15:val="{BC2C3ADA-72F8-234A-AFE9-DD699E5F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63DB"/>
    <w:pPr>
      <w:keepNext/>
      <w:keepLines/>
      <w:spacing w:before="360" w:after="80"/>
      <w:jc w:val="center"/>
      <w:outlineLvl w:val="0"/>
    </w:pPr>
    <w:rPr>
      <w:rFonts w:asciiTheme="majorHAnsi" w:eastAsiaTheme="majorEastAsia" w:hAnsiTheme="majorHAnsi" w:cstheme="majorBidi"/>
      <w:color w:val="0F4761" w:themeColor="accent1" w:themeShade="BF"/>
      <w:sz w:val="32"/>
      <w:szCs w:val="32"/>
    </w:rPr>
  </w:style>
  <w:style w:type="paragraph" w:styleId="Titolo2">
    <w:name w:val="heading 2"/>
    <w:basedOn w:val="Normale"/>
    <w:next w:val="Normale"/>
    <w:link w:val="Titolo2Carattere"/>
    <w:autoRedefine/>
    <w:uiPriority w:val="9"/>
    <w:unhideWhenUsed/>
    <w:qFormat/>
    <w:rsid w:val="006148E8"/>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240" w:line="276" w:lineRule="auto"/>
      <w:jc w:val="center"/>
      <w:outlineLvl w:val="1"/>
    </w:pPr>
    <w:rPr>
      <w:rFonts w:eastAsia="Arial Unicode MS" w:cstheme="minorHAnsi"/>
      <w:b/>
      <w:bCs/>
      <w:color w:val="000000"/>
      <w:bdr w:val="nil"/>
      <w:lang w:eastAsia="it-IT"/>
      <w14:textOutline w14:w="0" w14:cap="flat" w14:cmpd="sng" w14:algn="ctr">
        <w14:noFill/>
        <w14:prstDash w14:val="solid"/>
        <w14:bevel/>
      </w14:textOutline>
    </w:rPr>
  </w:style>
  <w:style w:type="paragraph" w:styleId="Titolo3">
    <w:name w:val="heading 3"/>
    <w:basedOn w:val="Normale"/>
    <w:next w:val="Normale"/>
    <w:link w:val="Titolo3Carattere"/>
    <w:uiPriority w:val="9"/>
    <w:semiHidden/>
    <w:unhideWhenUsed/>
    <w:qFormat/>
    <w:rsid w:val="000A6F3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A6F3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A6F3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A6F3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A6F3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A6F3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A6F3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148E8"/>
    <w:rPr>
      <w:rFonts w:eastAsia="Arial Unicode MS" w:cstheme="minorHAnsi"/>
      <w:b/>
      <w:bCs/>
      <w:color w:val="000000"/>
      <w:bdr w:val="nil"/>
      <w:lang w:eastAsia="it-IT"/>
      <w14:textOutline w14:w="0" w14:cap="flat" w14:cmpd="sng" w14:algn="ctr">
        <w14:noFill/>
        <w14:prstDash w14:val="solid"/>
        <w14:bevel/>
      </w14:textOutline>
    </w:rPr>
  </w:style>
  <w:style w:type="character" w:customStyle="1" w:styleId="Titolo1Carattere">
    <w:name w:val="Titolo 1 Carattere"/>
    <w:basedOn w:val="Carpredefinitoparagrafo"/>
    <w:link w:val="Titolo1"/>
    <w:uiPriority w:val="9"/>
    <w:rsid w:val="001763D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A6F3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A6F3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A6F3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A6F3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A6F3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A6F3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A6F39"/>
    <w:rPr>
      <w:rFonts w:eastAsiaTheme="majorEastAsia" w:cstheme="majorBidi"/>
      <w:color w:val="272727" w:themeColor="text1" w:themeTint="D8"/>
    </w:rPr>
  </w:style>
  <w:style w:type="paragraph" w:styleId="Titolo">
    <w:name w:val="Title"/>
    <w:basedOn w:val="Normale"/>
    <w:next w:val="Normale"/>
    <w:link w:val="TitoloCarattere"/>
    <w:uiPriority w:val="10"/>
    <w:qFormat/>
    <w:rsid w:val="000A6F3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A6F3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A6F3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A6F3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A6F3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A6F39"/>
    <w:rPr>
      <w:i/>
      <w:iCs/>
      <w:color w:val="404040" w:themeColor="text1" w:themeTint="BF"/>
    </w:rPr>
  </w:style>
  <w:style w:type="paragraph" w:styleId="Paragrafoelenco">
    <w:name w:val="List Paragraph"/>
    <w:basedOn w:val="Normale"/>
    <w:uiPriority w:val="34"/>
    <w:qFormat/>
    <w:rsid w:val="000A6F39"/>
    <w:pPr>
      <w:ind w:left="720"/>
      <w:contextualSpacing/>
    </w:pPr>
  </w:style>
  <w:style w:type="character" w:styleId="Enfasiintensa">
    <w:name w:val="Intense Emphasis"/>
    <w:basedOn w:val="Carpredefinitoparagrafo"/>
    <w:uiPriority w:val="21"/>
    <w:qFormat/>
    <w:rsid w:val="000A6F39"/>
    <w:rPr>
      <w:i/>
      <w:iCs/>
      <w:color w:val="0F4761" w:themeColor="accent1" w:themeShade="BF"/>
    </w:rPr>
  </w:style>
  <w:style w:type="paragraph" w:styleId="Citazioneintensa">
    <w:name w:val="Intense Quote"/>
    <w:basedOn w:val="Normale"/>
    <w:next w:val="Normale"/>
    <w:link w:val="CitazioneintensaCarattere"/>
    <w:uiPriority w:val="30"/>
    <w:qFormat/>
    <w:rsid w:val="000A6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A6F39"/>
    <w:rPr>
      <w:i/>
      <w:iCs/>
      <w:color w:val="0F4761" w:themeColor="accent1" w:themeShade="BF"/>
    </w:rPr>
  </w:style>
  <w:style w:type="character" w:styleId="Riferimentointenso">
    <w:name w:val="Intense Reference"/>
    <w:basedOn w:val="Carpredefinitoparagrafo"/>
    <w:uiPriority w:val="32"/>
    <w:qFormat/>
    <w:rsid w:val="000A6F39"/>
    <w:rPr>
      <w:b/>
      <w:bCs/>
      <w:smallCaps/>
      <w:color w:val="0F4761" w:themeColor="accent1" w:themeShade="BF"/>
      <w:spacing w:val="5"/>
    </w:rPr>
  </w:style>
  <w:style w:type="table" w:styleId="Grigliatabella">
    <w:name w:val="Table Grid"/>
    <w:basedOn w:val="Tabellanormale"/>
    <w:uiPriority w:val="39"/>
    <w:rsid w:val="0086262D"/>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06169">
      <w:bodyDiv w:val="1"/>
      <w:marLeft w:val="0"/>
      <w:marRight w:val="0"/>
      <w:marTop w:val="0"/>
      <w:marBottom w:val="0"/>
      <w:divBdr>
        <w:top w:val="none" w:sz="0" w:space="0" w:color="auto"/>
        <w:left w:val="none" w:sz="0" w:space="0" w:color="auto"/>
        <w:bottom w:val="none" w:sz="0" w:space="0" w:color="auto"/>
        <w:right w:val="none" w:sz="0" w:space="0" w:color="auto"/>
      </w:divBdr>
    </w:div>
    <w:div w:id="204381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4440</Words>
  <Characters>25310</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MACCARI</dc:creator>
  <cp:keywords/>
  <dc:description/>
  <cp:lastModifiedBy>FEDELE TIZIANA</cp:lastModifiedBy>
  <cp:revision>3</cp:revision>
  <dcterms:created xsi:type="dcterms:W3CDTF">2024-10-23T14:59:00Z</dcterms:created>
  <dcterms:modified xsi:type="dcterms:W3CDTF">2024-10-23T14:59:00Z</dcterms:modified>
</cp:coreProperties>
</file>