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AFAC" w14:textId="77777777" w:rsidR="0054451B" w:rsidRDefault="0054451B" w:rsidP="0061258F">
      <w:pPr>
        <w:tabs>
          <w:tab w:val="left" w:pos="900"/>
        </w:tabs>
        <w:jc w:val="center"/>
        <w:rPr>
          <w:rFonts w:ascii="Garamond" w:hAnsi="Garamond"/>
          <w:b/>
          <w:bCs/>
          <w:sz w:val="24"/>
          <w:szCs w:val="24"/>
        </w:rPr>
      </w:pPr>
    </w:p>
    <w:p w14:paraId="370C90BF" w14:textId="21A5A160" w:rsidR="0061258F" w:rsidRPr="0061258F" w:rsidRDefault="0061258F" w:rsidP="0061258F">
      <w:pPr>
        <w:tabs>
          <w:tab w:val="left" w:pos="900"/>
        </w:tabs>
        <w:jc w:val="center"/>
        <w:rPr>
          <w:rFonts w:ascii="Garamond" w:hAnsi="Garamond"/>
          <w:b/>
          <w:bCs/>
          <w:sz w:val="24"/>
          <w:szCs w:val="24"/>
        </w:rPr>
      </w:pPr>
      <w:r w:rsidRPr="0061258F">
        <w:rPr>
          <w:rFonts w:ascii="Garamond" w:hAnsi="Garamond"/>
          <w:b/>
          <w:bCs/>
          <w:sz w:val="24"/>
          <w:szCs w:val="24"/>
        </w:rPr>
        <w:t>DOCUMENTO INTERASSOCIATIVO</w:t>
      </w:r>
    </w:p>
    <w:p w14:paraId="0EA2FAC2" w14:textId="77777777" w:rsidR="0061258F" w:rsidRDefault="0061258F" w:rsidP="00DF3EC0">
      <w:pPr>
        <w:tabs>
          <w:tab w:val="left" w:pos="900"/>
        </w:tabs>
        <w:jc w:val="both"/>
        <w:rPr>
          <w:rFonts w:ascii="Garamond" w:hAnsi="Garamond"/>
          <w:sz w:val="24"/>
          <w:szCs w:val="24"/>
        </w:rPr>
      </w:pPr>
    </w:p>
    <w:p w14:paraId="36F2DC21" w14:textId="735A6807" w:rsidR="0080686B" w:rsidRPr="005008A9" w:rsidRDefault="0080686B" w:rsidP="00DF3EC0">
      <w:pPr>
        <w:tabs>
          <w:tab w:val="left" w:pos="900"/>
        </w:tabs>
        <w:jc w:val="both"/>
        <w:rPr>
          <w:rFonts w:ascii="Garamond" w:hAnsi="Garamond"/>
          <w:b/>
          <w:bCs/>
        </w:rPr>
      </w:pPr>
      <w:r w:rsidRPr="005008A9">
        <w:rPr>
          <w:rFonts w:ascii="Garamond" w:hAnsi="Garamond"/>
          <w:b/>
          <w:bCs/>
        </w:rPr>
        <w:t>Oggetto: Tavolo tecnico permanente per le concession</w:t>
      </w:r>
      <w:r w:rsidR="0054451B" w:rsidRPr="005008A9">
        <w:rPr>
          <w:rFonts w:ascii="Garamond" w:hAnsi="Garamond"/>
          <w:b/>
          <w:bCs/>
        </w:rPr>
        <w:t>i</w:t>
      </w:r>
      <w:r w:rsidRPr="005008A9">
        <w:rPr>
          <w:rFonts w:ascii="Garamond" w:hAnsi="Garamond"/>
          <w:b/>
          <w:bCs/>
        </w:rPr>
        <w:t xml:space="preserve"> demaniali marittime- C</w:t>
      </w:r>
      <w:r w:rsidR="00EF0B37" w:rsidRPr="005008A9">
        <w:rPr>
          <w:rFonts w:ascii="Garamond" w:hAnsi="Garamond"/>
          <w:b/>
          <w:bCs/>
        </w:rPr>
        <w:t xml:space="preserve">onsiderazioni </w:t>
      </w:r>
    </w:p>
    <w:p w14:paraId="6C9EC2D7" w14:textId="77777777" w:rsidR="0054451B" w:rsidRPr="005008A9" w:rsidRDefault="00535DD2" w:rsidP="0080686B">
      <w:pPr>
        <w:tabs>
          <w:tab w:val="left" w:pos="900"/>
        </w:tabs>
        <w:jc w:val="both"/>
        <w:rPr>
          <w:rFonts w:ascii="Garamond" w:hAnsi="Garamond"/>
        </w:rPr>
      </w:pPr>
      <w:r w:rsidRPr="005008A9">
        <w:rPr>
          <w:rFonts w:ascii="Garamond" w:hAnsi="Garamond"/>
        </w:rPr>
        <w:tab/>
      </w:r>
    </w:p>
    <w:p w14:paraId="224BB678" w14:textId="77777777" w:rsidR="00C17345" w:rsidRPr="005008A9" w:rsidRDefault="0080686B" w:rsidP="00C17345">
      <w:pPr>
        <w:tabs>
          <w:tab w:val="left" w:pos="900"/>
        </w:tabs>
        <w:spacing w:after="0"/>
        <w:jc w:val="both"/>
        <w:rPr>
          <w:rFonts w:ascii="Garamond" w:hAnsi="Garamond"/>
        </w:rPr>
      </w:pPr>
      <w:r w:rsidRPr="005008A9">
        <w:rPr>
          <w:rFonts w:ascii="Garamond" w:hAnsi="Garamond"/>
        </w:rPr>
        <w:t xml:space="preserve">In relazione all’oggetto trattato nella riunione del tavolo tecnico permanente convocata da codesto Spett.le Assessorato </w:t>
      </w:r>
      <w:r w:rsidR="0066511C" w:rsidRPr="005008A9">
        <w:rPr>
          <w:rFonts w:ascii="Garamond" w:hAnsi="Garamond"/>
        </w:rPr>
        <w:t xml:space="preserve">in data 27 gennaio </w:t>
      </w:r>
      <w:r w:rsidR="004B5785" w:rsidRPr="005008A9">
        <w:rPr>
          <w:rFonts w:ascii="Garamond" w:hAnsi="Garamond"/>
        </w:rPr>
        <w:t xml:space="preserve">u.s. </w:t>
      </w:r>
      <w:r w:rsidR="00C74F5F" w:rsidRPr="005008A9">
        <w:rPr>
          <w:rFonts w:ascii="Garamond" w:hAnsi="Garamond"/>
        </w:rPr>
        <w:t xml:space="preserve">le </w:t>
      </w:r>
      <w:r w:rsidR="004B5785" w:rsidRPr="005008A9">
        <w:rPr>
          <w:rFonts w:ascii="Garamond" w:hAnsi="Garamond"/>
        </w:rPr>
        <w:t>scriventi A</w:t>
      </w:r>
      <w:r w:rsidR="00C74F5F" w:rsidRPr="005008A9">
        <w:rPr>
          <w:rFonts w:ascii="Garamond" w:hAnsi="Garamond"/>
        </w:rPr>
        <w:t>ssociazioni</w:t>
      </w:r>
      <w:r w:rsidR="00EF0B37" w:rsidRPr="005008A9">
        <w:rPr>
          <w:rFonts w:ascii="Garamond" w:hAnsi="Garamond"/>
        </w:rPr>
        <w:t>, nell’ottica di una leale e fattiva collaborazione,</w:t>
      </w:r>
      <w:r w:rsidR="00812540" w:rsidRPr="005008A9">
        <w:rPr>
          <w:rFonts w:ascii="Garamond" w:hAnsi="Garamond"/>
        </w:rPr>
        <w:t xml:space="preserve"> intendono </w:t>
      </w:r>
      <w:r w:rsidR="00386D4D" w:rsidRPr="005008A9">
        <w:rPr>
          <w:rFonts w:ascii="Garamond" w:hAnsi="Garamond"/>
        </w:rPr>
        <w:t xml:space="preserve">fornire elementi e riflessioni utili ad una proficua evoluzione della normativa connessa alle concessioni demaniali marittime in Sicilia. </w:t>
      </w:r>
    </w:p>
    <w:p w14:paraId="5BAEF310" w14:textId="09A34BF4" w:rsidR="00B27C22" w:rsidRPr="005008A9" w:rsidRDefault="00D300B8" w:rsidP="00C17345">
      <w:pPr>
        <w:tabs>
          <w:tab w:val="left" w:pos="900"/>
        </w:tabs>
        <w:spacing w:after="0"/>
        <w:jc w:val="both"/>
        <w:rPr>
          <w:rFonts w:ascii="Garamond" w:hAnsi="Garamond"/>
        </w:rPr>
      </w:pPr>
      <w:r w:rsidRPr="005008A9">
        <w:rPr>
          <w:rFonts w:ascii="Garamond" w:hAnsi="Garamond"/>
        </w:rPr>
        <w:t>In sede di riunione è stata anticipata la bozza di decreto finalizzato ad agevolare il rilascio delle nuove concessioni per le aree libere e limitatamente ai comuni che hanno provveduto ad adottare e/o approvare il Piano di Utilizzo del Demanio Marittimo. Un provvedimento che opera</w:t>
      </w:r>
      <w:r w:rsidR="00B27C22" w:rsidRPr="005008A9">
        <w:rPr>
          <w:rFonts w:ascii="Garamond" w:hAnsi="Garamond"/>
        </w:rPr>
        <w:t>, infatti,</w:t>
      </w:r>
      <w:r w:rsidRPr="005008A9">
        <w:rPr>
          <w:rFonts w:ascii="Garamond" w:hAnsi="Garamond"/>
        </w:rPr>
        <w:t xml:space="preserve"> inserendosi nell’impianto regolatorio previsto dal Decreto n. 01/GAB del 02/01/2025 con il quale vengono introdotte misure semplificative nell’iter di approvazione dei PUDM</w:t>
      </w:r>
      <w:r w:rsidR="004B5785" w:rsidRPr="005008A9">
        <w:rPr>
          <w:rFonts w:ascii="Garamond" w:hAnsi="Garamond"/>
        </w:rPr>
        <w:t xml:space="preserve">. Provvedimenti amministrativi, quelli sopra citati, che pongono le basi per un riordino del demanio marittimo regionale. Temi di grande rilevanza per gli effetti che ingenerano non solo nei confronti dello sviluppo dell’offerta turistica balneare ma anche per le ricadute che ne derivano sul fronte dell’attrattività degli investimenti sui nostri litorali. Scelte che impongono, soprattutto a fronte di un quado normativo in divenire, </w:t>
      </w:r>
      <w:r w:rsidR="00B27C22" w:rsidRPr="005008A9">
        <w:rPr>
          <w:rFonts w:ascii="Garamond" w:hAnsi="Garamond"/>
        </w:rPr>
        <w:t xml:space="preserve">soluzioni </w:t>
      </w:r>
      <w:r w:rsidR="004B5785" w:rsidRPr="005008A9">
        <w:rPr>
          <w:rFonts w:ascii="Garamond" w:hAnsi="Garamond"/>
        </w:rPr>
        <w:t>responsabili e ben oculate. Nella considerazione che è intendimento comune approntare un quadro regolatorio che</w:t>
      </w:r>
      <w:r w:rsidR="00B27C22" w:rsidRPr="005008A9">
        <w:rPr>
          <w:rFonts w:ascii="Garamond" w:hAnsi="Garamond"/>
        </w:rPr>
        <w:t xml:space="preserve">, </w:t>
      </w:r>
      <w:r w:rsidR="004B5785" w:rsidRPr="005008A9">
        <w:rPr>
          <w:rFonts w:ascii="Garamond" w:hAnsi="Garamond"/>
        </w:rPr>
        <w:t xml:space="preserve">nel rispetto del diritto </w:t>
      </w:r>
      <w:proofErr w:type="spellStart"/>
      <w:r w:rsidR="004B5785" w:rsidRPr="005008A9">
        <w:rPr>
          <w:rFonts w:ascii="Garamond" w:hAnsi="Garamond"/>
        </w:rPr>
        <w:t>unionale</w:t>
      </w:r>
      <w:proofErr w:type="spellEnd"/>
      <w:r w:rsidR="004B5785" w:rsidRPr="005008A9">
        <w:rPr>
          <w:rFonts w:ascii="Garamond" w:hAnsi="Garamond"/>
        </w:rPr>
        <w:t xml:space="preserve"> </w:t>
      </w:r>
      <w:r w:rsidR="00BC481D" w:rsidRPr="005008A9">
        <w:rPr>
          <w:rFonts w:ascii="Garamond" w:hAnsi="Garamond"/>
        </w:rPr>
        <w:t>e in un contesto</w:t>
      </w:r>
      <w:r w:rsidR="00B27C22" w:rsidRPr="005008A9">
        <w:rPr>
          <w:rFonts w:ascii="Garamond" w:hAnsi="Garamond"/>
        </w:rPr>
        <w:t xml:space="preserve"> </w:t>
      </w:r>
      <w:r w:rsidR="00BC481D" w:rsidRPr="005008A9">
        <w:rPr>
          <w:rFonts w:ascii="Garamond" w:hAnsi="Garamond"/>
        </w:rPr>
        <w:t>quello siciliano di assoluta non scarsità della risorsa concedibile</w:t>
      </w:r>
      <w:r w:rsidR="00B27C22" w:rsidRPr="005008A9">
        <w:rPr>
          <w:rFonts w:ascii="Garamond" w:hAnsi="Garamond"/>
        </w:rPr>
        <w:t>, possa</w:t>
      </w:r>
      <w:r w:rsidR="004B5785" w:rsidRPr="005008A9">
        <w:rPr>
          <w:rFonts w:ascii="Garamond" w:hAnsi="Garamond"/>
        </w:rPr>
        <w:t xml:space="preserve"> garantire uno sviluppo armonizzato </w:t>
      </w:r>
      <w:r w:rsidR="00BC481D" w:rsidRPr="005008A9">
        <w:rPr>
          <w:rFonts w:ascii="Garamond" w:hAnsi="Garamond"/>
        </w:rPr>
        <w:t xml:space="preserve">del sistema dell’offerta dei servizi connessi alla diretta fruizione del mare siamo a chiedere di potere disporre della bozza del redigendo </w:t>
      </w:r>
      <w:r w:rsidR="005B1C5E" w:rsidRPr="005008A9">
        <w:rPr>
          <w:rFonts w:ascii="Garamond" w:hAnsi="Garamond"/>
        </w:rPr>
        <w:t>d</w:t>
      </w:r>
      <w:r w:rsidR="00BC481D" w:rsidRPr="005008A9">
        <w:rPr>
          <w:rFonts w:ascii="Garamond" w:hAnsi="Garamond"/>
        </w:rPr>
        <w:t>ecreto c</w:t>
      </w:r>
      <w:r w:rsidR="000F338E" w:rsidRPr="005008A9">
        <w:rPr>
          <w:rFonts w:ascii="Garamond" w:hAnsi="Garamond"/>
        </w:rPr>
        <w:t xml:space="preserve">he </w:t>
      </w:r>
      <w:r w:rsidR="00BC481D" w:rsidRPr="005008A9">
        <w:rPr>
          <w:rFonts w:ascii="Garamond" w:hAnsi="Garamond"/>
        </w:rPr>
        <w:t>è stato</w:t>
      </w:r>
      <w:r w:rsidR="000F338E" w:rsidRPr="005008A9">
        <w:rPr>
          <w:rFonts w:ascii="Garamond" w:hAnsi="Garamond"/>
        </w:rPr>
        <w:t xml:space="preserve"> fugacemente </w:t>
      </w:r>
      <w:r w:rsidR="00BC481D" w:rsidRPr="005008A9">
        <w:rPr>
          <w:rFonts w:ascii="Garamond" w:hAnsi="Garamond"/>
        </w:rPr>
        <w:t xml:space="preserve">illustrato </w:t>
      </w:r>
      <w:r w:rsidR="000F338E" w:rsidRPr="005008A9">
        <w:rPr>
          <w:rFonts w:ascii="Garamond" w:hAnsi="Garamond"/>
        </w:rPr>
        <w:t>in sede di ultimo incontro</w:t>
      </w:r>
      <w:r w:rsidR="00B27C22" w:rsidRPr="005008A9">
        <w:rPr>
          <w:rFonts w:ascii="Garamond" w:hAnsi="Garamond"/>
        </w:rPr>
        <w:t xml:space="preserve">. </w:t>
      </w:r>
      <w:r w:rsidR="005B1C5E" w:rsidRPr="005008A9">
        <w:rPr>
          <w:rFonts w:ascii="Garamond" w:hAnsi="Garamond"/>
        </w:rPr>
        <w:t>U</w:t>
      </w:r>
      <w:r w:rsidR="00B27C22" w:rsidRPr="005008A9">
        <w:rPr>
          <w:rFonts w:ascii="Garamond" w:hAnsi="Garamond"/>
        </w:rPr>
        <w:t xml:space="preserve">na </w:t>
      </w:r>
      <w:r w:rsidR="005B1C5E" w:rsidRPr="005008A9">
        <w:rPr>
          <w:rFonts w:ascii="Garamond" w:hAnsi="Garamond"/>
        </w:rPr>
        <w:t>richiesta</w:t>
      </w:r>
      <w:r w:rsidR="00B27C22" w:rsidRPr="005008A9">
        <w:rPr>
          <w:rFonts w:ascii="Garamond" w:hAnsi="Garamond"/>
        </w:rPr>
        <w:t xml:space="preserve"> che riteniamo coerente con la ratio che anima lo spirito concertativo che negli anni ha caratterizzato il tavolo di confronto con codesto Assessorato.</w:t>
      </w:r>
    </w:p>
    <w:p w14:paraId="488CCFCB" w14:textId="0150B9EA" w:rsidR="00692269" w:rsidRPr="005008A9" w:rsidRDefault="00692269" w:rsidP="00692269">
      <w:pPr>
        <w:tabs>
          <w:tab w:val="left" w:pos="900"/>
        </w:tabs>
        <w:spacing w:after="0"/>
        <w:jc w:val="both"/>
        <w:rPr>
          <w:rFonts w:ascii="Garamond" w:hAnsi="Garamond"/>
        </w:rPr>
      </w:pPr>
      <w:r w:rsidRPr="005008A9">
        <w:rPr>
          <w:rFonts w:ascii="Garamond" w:hAnsi="Garamond"/>
        </w:rPr>
        <w:t xml:space="preserve">Pertanto con la dovuta riserva derivante dalla mancata conoscenza del testo che Codesto </w:t>
      </w:r>
      <w:proofErr w:type="spellStart"/>
      <w:r w:rsidRPr="005008A9">
        <w:rPr>
          <w:rFonts w:ascii="Garamond" w:hAnsi="Garamond"/>
        </w:rPr>
        <w:t>On.le</w:t>
      </w:r>
      <w:proofErr w:type="spellEnd"/>
      <w:r w:rsidRPr="005008A9">
        <w:rPr>
          <w:rFonts w:ascii="Garamond" w:hAnsi="Garamond"/>
        </w:rPr>
        <w:t xml:space="preserve"> Assessore intende pubblicare, si ritiene opportuno, medio tempore, evidenziare:</w:t>
      </w:r>
    </w:p>
    <w:p w14:paraId="5D0C7DE7" w14:textId="77777777" w:rsidR="00692269" w:rsidRPr="005008A9" w:rsidRDefault="00692269" w:rsidP="00692269">
      <w:pPr>
        <w:pStyle w:val="Paragrafoelenco"/>
        <w:numPr>
          <w:ilvl w:val="0"/>
          <w:numId w:val="6"/>
        </w:numPr>
        <w:tabs>
          <w:tab w:val="left" w:pos="900"/>
        </w:tabs>
        <w:spacing w:after="0"/>
        <w:jc w:val="both"/>
        <w:rPr>
          <w:rFonts w:ascii="Garamond" w:hAnsi="Garamond"/>
        </w:rPr>
      </w:pPr>
      <w:r w:rsidRPr="005008A9">
        <w:rPr>
          <w:rFonts w:ascii="Garamond" w:hAnsi="Garamond"/>
        </w:rPr>
        <w:t>La necessità di determinare i criteri da applicare per la determinazione delle “offerte anomale”;</w:t>
      </w:r>
    </w:p>
    <w:p w14:paraId="4346FAFB" w14:textId="77777777" w:rsidR="00692269" w:rsidRPr="005008A9" w:rsidRDefault="00692269" w:rsidP="00692269">
      <w:pPr>
        <w:pStyle w:val="Paragrafoelenco"/>
        <w:numPr>
          <w:ilvl w:val="0"/>
          <w:numId w:val="6"/>
        </w:numPr>
        <w:tabs>
          <w:tab w:val="left" w:pos="900"/>
        </w:tabs>
        <w:spacing w:after="0"/>
        <w:jc w:val="both"/>
        <w:rPr>
          <w:rFonts w:ascii="Garamond" w:hAnsi="Garamond"/>
        </w:rPr>
      </w:pPr>
      <w:r w:rsidRPr="005008A9">
        <w:rPr>
          <w:rFonts w:ascii="Garamond" w:hAnsi="Garamond"/>
        </w:rPr>
        <w:t>La necessità di rivedere il punteggio attribuito all’offerta economica in sede di gara: trattandosi di contratti di servizi e non di beni si ritiene che debba privilegiarsi la qualità dei servizi offerti anzi che l’aspetto economico.</w:t>
      </w:r>
    </w:p>
    <w:p w14:paraId="302EB682" w14:textId="61EB98D3" w:rsidR="009C0288" w:rsidRPr="005008A9" w:rsidRDefault="00BC481D" w:rsidP="00C17345">
      <w:pPr>
        <w:tabs>
          <w:tab w:val="left" w:pos="900"/>
        </w:tabs>
        <w:spacing w:after="0"/>
        <w:jc w:val="both"/>
        <w:rPr>
          <w:rFonts w:ascii="Garamond" w:hAnsi="Garamond"/>
        </w:rPr>
      </w:pPr>
      <w:r w:rsidRPr="005008A9">
        <w:rPr>
          <w:rFonts w:ascii="Garamond" w:hAnsi="Garamond"/>
        </w:rPr>
        <w:t xml:space="preserve">Con tali premesse e con l’obiettivo di favorire un percorso condiviso di provvedimenti estremamente rilevanti siamo a richiedere un maggior termine per approfondire condizioni e criteri finalizzati al rilascio di nuove concessioni demaniali.  </w:t>
      </w:r>
      <w:r w:rsidR="004209AC" w:rsidRPr="005008A9">
        <w:rPr>
          <w:rFonts w:ascii="Garamond" w:hAnsi="Garamond"/>
        </w:rPr>
        <w:t>Al contempo si chiede</w:t>
      </w:r>
      <w:r w:rsidR="00C55BF0" w:rsidRPr="005008A9">
        <w:rPr>
          <w:rFonts w:ascii="Garamond" w:hAnsi="Garamond"/>
        </w:rPr>
        <w:t xml:space="preserve"> se questo Assessorato intend</w:t>
      </w:r>
      <w:r w:rsidR="00FE21EB" w:rsidRPr="005008A9">
        <w:rPr>
          <w:rFonts w:ascii="Garamond" w:hAnsi="Garamond"/>
        </w:rPr>
        <w:t>a</w:t>
      </w:r>
      <w:r w:rsidR="00C55BF0" w:rsidRPr="005008A9">
        <w:rPr>
          <w:rFonts w:ascii="Garamond" w:hAnsi="Garamond"/>
        </w:rPr>
        <w:t xml:space="preserve">, parallelamente al nuovo percorso di riordino delle procedure di rilascio di nuove concessioni, </w:t>
      </w:r>
      <w:r w:rsidR="005C6189" w:rsidRPr="005008A9">
        <w:rPr>
          <w:rFonts w:ascii="Garamond" w:hAnsi="Garamond"/>
        </w:rPr>
        <w:t>supportare un approfondimento delle previsioni della L.R. 24/2019</w:t>
      </w:r>
      <w:r w:rsidR="00FE21EB" w:rsidRPr="005008A9">
        <w:rPr>
          <w:rFonts w:ascii="Garamond" w:hAnsi="Garamond"/>
        </w:rPr>
        <w:t xml:space="preserve">, le prescrizioni del Decreto ARTA numero 137/Gab del 21.05.2020 ed i relativi effetti che, a giudizio delle scriventi organizzazioni, pongono la Sicilia in una condizione differente e </w:t>
      </w:r>
      <w:r w:rsidRPr="005008A9">
        <w:rPr>
          <w:rFonts w:ascii="Garamond" w:hAnsi="Garamond"/>
        </w:rPr>
        <w:t>di maggiore tutela degli investimenti in essere</w:t>
      </w:r>
      <w:r w:rsidR="00FE21EB" w:rsidRPr="005008A9">
        <w:rPr>
          <w:rFonts w:ascii="Garamond" w:hAnsi="Garamond"/>
        </w:rPr>
        <w:t xml:space="preserve"> rispetto all’attuale panorama nazionale nella disciplina di settore.</w:t>
      </w:r>
    </w:p>
    <w:p w14:paraId="33029DA4" w14:textId="7158D95E" w:rsidR="00FE21EB" w:rsidRPr="005008A9" w:rsidRDefault="00FE21EB" w:rsidP="00C55BF0">
      <w:pPr>
        <w:tabs>
          <w:tab w:val="left" w:pos="900"/>
        </w:tabs>
        <w:jc w:val="both"/>
        <w:rPr>
          <w:rFonts w:ascii="Garamond" w:hAnsi="Garamond"/>
        </w:rPr>
      </w:pPr>
      <w:r w:rsidRPr="005008A9">
        <w:rPr>
          <w:rFonts w:ascii="Garamond" w:hAnsi="Garamond"/>
        </w:rPr>
        <w:t>In attesa di un proficuo riscontro si coglie l’occasione per porgere un cordiale saluto.</w:t>
      </w:r>
    </w:p>
    <w:p w14:paraId="73C03342" w14:textId="4606D901" w:rsidR="0061258F" w:rsidRPr="005008A9" w:rsidRDefault="0061258F" w:rsidP="00E97A86">
      <w:pPr>
        <w:tabs>
          <w:tab w:val="left" w:pos="900"/>
        </w:tabs>
        <w:jc w:val="both"/>
        <w:rPr>
          <w:rFonts w:ascii="Garamond" w:hAnsi="Garamond"/>
        </w:rPr>
      </w:pPr>
      <w:r w:rsidRPr="005008A9">
        <w:rPr>
          <w:rFonts w:ascii="Garamond" w:hAnsi="Garamond"/>
        </w:rPr>
        <w:t xml:space="preserve">Palermo, </w:t>
      </w:r>
      <w:r w:rsidR="0054451B" w:rsidRPr="005008A9">
        <w:rPr>
          <w:rFonts w:ascii="Garamond" w:hAnsi="Garamond"/>
        </w:rPr>
        <w:t>30</w:t>
      </w:r>
      <w:r w:rsidRPr="005008A9">
        <w:rPr>
          <w:rFonts w:ascii="Garamond" w:hAnsi="Garamond"/>
        </w:rPr>
        <w:t xml:space="preserve"> gennaio 2025</w:t>
      </w:r>
    </w:p>
    <w:p w14:paraId="4B55A496" w14:textId="0D0294D9" w:rsidR="0061258F" w:rsidRPr="005008A9" w:rsidRDefault="00FE21EB" w:rsidP="00E97A86">
      <w:pPr>
        <w:tabs>
          <w:tab w:val="left" w:pos="900"/>
        </w:tabs>
        <w:jc w:val="both"/>
        <w:rPr>
          <w:rFonts w:ascii="Garamond" w:hAnsi="Garamond"/>
        </w:rPr>
      </w:pPr>
      <w:r w:rsidRPr="005008A9">
        <w:rPr>
          <w:rFonts w:ascii="Garamond" w:hAnsi="Garamond"/>
        </w:rPr>
        <w:t>Le organizzazioni:</w:t>
      </w:r>
    </w:p>
    <w:p w14:paraId="3714FA83" w14:textId="434AB2CD" w:rsidR="00FE21EB" w:rsidRPr="005008A9" w:rsidRDefault="00FE21EB" w:rsidP="004407E8">
      <w:pPr>
        <w:tabs>
          <w:tab w:val="left" w:pos="900"/>
        </w:tabs>
        <w:jc w:val="center"/>
        <w:rPr>
          <w:rFonts w:ascii="Garamond" w:hAnsi="Garamond"/>
          <w:i/>
          <w:iCs/>
          <w:sz w:val="24"/>
          <w:szCs w:val="24"/>
        </w:rPr>
      </w:pPr>
      <w:r w:rsidRPr="005008A9">
        <w:rPr>
          <w:rFonts w:ascii="Garamond" w:hAnsi="Garamond"/>
          <w:i/>
          <w:iCs/>
          <w:sz w:val="24"/>
          <w:szCs w:val="24"/>
        </w:rPr>
        <w:t>FIBA Confesercenti Sicilia – SIB Confcommercio Sicilia – CNA Balneari Sicilia – Assobalneari Confindustria Sicilia – Confartigianato Imprese Demaniali Sicilia</w:t>
      </w:r>
    </w:p>
    <w:sectPr w:rsidR="00FE21EB" w:rsidRPr="005008A9" w:rsidSect="00692269">
      <w:headerReference w:type="default" r:id="rId8"/>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270E" w14:textId="77777777" w:rsidR="00674A27" w:rsidRDefault="00674A27" w:rsidP="00942416">
      <w:pPr>
        <w:spacing w:after="0" w:line="240" w:lineRule="auto"/>
      </w:pPr>
      <w:r>
        <w:separator/>
      </w:r>
    </w:p>
  </w:endnote>
  <w:endnote w:type="continuationSeparator" w:id="0">
    <w:p w14:paraId="3A215B09" w14:textId="77777777" w:rsidR="00674A27" w:rsidRDefault="00674A27" w:rsidP="0094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254400"/>
      <w:docPartObj>
        <w:docPartGallery w:val="Page Numbers (Bottom of Page)"/>
        <w:docPartUnique/>
      </w:docPartObj>
    </w:sdtPr>
    <w:sdtContent>
      <w:p w14:paraId="7837D0E1" w14:textId="0A8EFDF2" w:rsidR="00942416" w:rsidRDefault="00942416">
        <w:pPr>
          <w:pStyle w:val="Pidipagina"/>
          <w:jc w:val="center"/>
        </w:pPr>
        <w:r>
          <w:fldChar w:fldCharType="begin"/>
        </w:r>
        <w:r>
          <w:instrText>PAGE   \* MERGEFORMAT</w:instrText>
        </w:r>
        <w:r>
          <w:fldChar w:fldCharType="separate"/>
        </w:r>
        <w:r>
          <w:t>2</w:t>
        </w:r>
        <w:r>
          <w:fldChar w:fldCharType="end"/>
        </w:r>
      </w:p>
    </w:sdtContent>
  </w:sdt>
  <w:p w14:paraId="58A93DA0" w14:textId="77777777" w:rsidR="00942416" w:rsidRDefault="009424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56B2" w14:textId="77777777" w:rsidR="00674A27" w:rsidRDefault="00674A27" w:rsidP="00942416">
      <w:pPr>
        <w:spacing w:after="0" w:line="240" w:lineRule="auto"/>
      </w:pPr>
      <w:r>
        <w:separator/>
      </w:r>
    </w:p>
  </w:footnote>
  <w:footnote w:type="continuationSeparator" w:id="0">
    <w:p w14:paraId="61126D1A" w14:textId="77777777" w:rsidR="00674A27" w:rsidRDefault="00674A27" w:rsidP="0094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BBE7" w14:textId="3ED61E56" w:rsidR="005008A9" w:rsidRDefault="005008A9">
    <w:pPr>
      <w:pStyle w:val="Intestazione"/>
    </w:pPr>
    <w:r w:rsidRPr="0032279D">
      <w:rPr>
        <w:noProof/>
        <w:lang w:eastAsia="it-IT"/>
      </w:rPr>
      <w:drawing>
        <wp:inline distT="0" distB="0" distL="0" distR="0" wp14:anchorId="22F595BE" wp14:editId="21185DE0">
          <wp:extent cx="6114415" cy="723265"/>
          <wp:effectExtent l="0" t="0" r="635" b="635"/>
          <wp:docPr id="3749079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45D7"/>
    <w:multiLevelType w:val="hybridMultilevel"/>
    <w:tmpl w:val="37400F20"/>
    <w:lvl w:ilvl="0" w:tplc="73D8A4D6">
      <w:start w:val="1"/>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A34908"/>
    <w:multiLevelType w:val="hybridMultilevel"/>
    <w:tmpl w:val="9E9653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544B4C"/>
    <w:multiLevelType w:val="hybridMultilevel"/>
    <w:tmpl w:val="CFEC30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5950A3"/>
    <w:multiLevelType w:val="multilevel"/>
    <w:tmpl w:val="6CCEA3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95426ED"/>
    <w:multiLevelType w:val="hybridMultilevel"/>
    <w:tmpl w:val="10F869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E0121F"/>
    <w:multiLevelType w:val="hybridMultilevel"/>
    <w:tmpl w:val="2D14A00A"/>
    <w:lvl w:ilvl="0" w:tplc="0F0CACF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6438069">
    <w:abstractNumId w:val="4"/>
  </w:num>
  <w:num w:numId="2" w16cid:durableId="210777016">
    <w:abstractNumId w:val="3"/>
  </w:num>
  <w:num w:numId="3" w16cid:durableId="186020119">
    <w:abstractNumId w:val="1"/>
  </w:num>
  <w:num w:numId="4" w16cid:durableId="1501385403">
    <w:abstractNumId w:val="2"/>
  </w:num>
  <w:num w:numId="5" w16cid:durableId="183248979">
    <w:abstractNumId w:val="0"/>
  </w:num>
  <w:num w:numId="6" w16cid:durableId="1959871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BF"/>
    <w:rsid w:val="00026FF8"/>
    <w:rsid w:val="000942E6"/>
    <w:rsid w:val="000F338E"/>
    <w:rsid w:val="001147C1"/>
    <w:rsid w:val="001148D5"/>
    <w:rsid w:val="00146C56"/>
    <w:rsid w:val="00193A05"/>
    <w:rsid w:val="001946DD"/>
    <w:rsid w:val="00194893"/>
    <w:rsid w:val="001F054B"/>
    <w:rsid w:val="00241287"/>
    <w:rsid w:val="002426F2"/>
    <w:rsid w:val="002F5D95"/>
    <w:rsid w:val="00304685"/>
    <w:rsid w:val="00323EC3"/>
    <w:rsid w:val="003268B3"/>
    <w:rsid w:val="00386D4D"/>
    <w:rsid w:val="003E7BA4"/>
    <w:rsid w:val="003F1281"/>
    <w:rsid w:val="003F7DCE"/>
    <w:rsid w:val="00405BE1"/>
    <w:rsid w:val="004209AC"/>
    <w:rsid w:val="004407E8"/>
    <w:rsid w:val="00453F8F"/>
    <w:rsid w:val="004661FB"/>
    <w:rsid w:val="00475170"/>
    <w:rsid w:val="004B5785"/>
    <w:rsid w:val="005008A9"/>
    <w:rsid w:val="00535DD2"/>
    <w:rsid w:val="0054451B"/>
    <w:rsid w:val="005B1C5E"/>
    <w:rsid w:val="005C6189"/>
    <w:rsid w:val="005E22B7"/>
    <w:rsid w:val="0061258F"/>
    <w:rsid w:val="006322A0"/>
    <w:rsid w:val="00640BF5"/>
    <w:rsid w:val="00661E7A"/>
    <w:rsid w:val="0066511C"/>
    <w:rsid w:val="00673DAB"/>
    <w:rsid w:val="00674A27"/>
    <w:rsid w:val="00692269"/>
    <w:rsid w:val="006C24E4"/>
    <w:rsid w:val="006C5741"/>
    <w:rsid w:val="006D5FE3"/>
    <w:rsid w:val="006F77E4"/>
    <w:rsid w:val="007A01B0"/>
    <w:rsid w:val="007A6295"/>
    <w:rsid w:val="007C3255"/>
    <w:rsid w:val="007F7744"/>
    <w:rsid w:val="0080686B"/>
    <w:rsid w:val="00812540"/>
    <w:rsid w:val="00877C75"/>
    <w:rsid w:val="008837E6"/>
    <w:rsid w:val="008F27D8"/>
    <w:rsid w:val="0091122F"/>
    <w:rsid w:val="00911539"/>
    <w:rsid w:val="009160E0"/>
    <w:rsid w:val="00942416"/>
    <w:rsid w:val="00946C84"/>
    <w:rsid w:val="009554BF"/>
    <w:rsid w:val="009646BC"/>
    <w:rsid w:val="009A376F"/>
    <w:rsid w:val="009C0288"/>
    <w:rsid w:val="00A0222C"/>
    <w:rsid w:val="00A1101E"/>
    <w:rsid w:val="00AB002B"/>
    <w:rsid w:val="00AB06F0"/>
    <w:rsid w:val="00B013E9"/>
    <w:rsid w:val="00B07C1D"/>
    <w:rsid w:val="00B27C22"/>
    <w:rsid w:val="00B33DA6"/>
    <w:rsid w:val="00B342D1"/>
    <w:rsid w:val="00B52180"/>
    <w:rsid w:val="00B965AB"/>
    <w:rsid w:val="00BC481D"/>
    <w:rsid w:val="00BC6A4F"/>
    <w:rsid w:val="00BF2368"/>
    <w:rsid w:val="00BF6CE4"/>
    <w:rsid w:val="00C17345"/>
    <w:rsid w:val="00C5593D"/>
    <w:rsid w:val="00C55BF0"/>
    <w:rsid w:val="00C743F1"/>
    <w:rsid w:val="00C74F5F"/>
    <w:rsid w:val="00C87DFA"/>
    <w:rsid w:val="00C94956"/>
    <w:rsid w:val="00CE0128"/>
    <w:rsid w:val="00D300B8"/>
    <w:rsid w:val="00D46E12"/>
    <w:rsid w:val="00D65DE0"/>
    <w:rsid w:val="00D743A8"/>
    <w:rsid w:val="00D87BC5"/>
    <w:rsid w:val="00DB3985"/>
    <w:rsid w:val="00DC2C40"/>
    <w:rsid w:val="00DF3EC0"/>
    <w:rsid w:val="00E24B78"/>
    <w:rsid w:val="00E51489"/>
    <w:rsid w:val="00E60771"/>
    <w:rsid w:val="00E97A86"/>
    <w:rsid w:val="00EA15E7"/>
    <w:rsid w:val="00EB3046"/>
    <w:rsid w:val="00EF0B37"/>
    <w:rsid w:val="00F32598"/>
    <w:rsid w:val="00F57B75"/>
    <w:rsid w:val="00F77182"/>
    <w:rsid w:val="00F83D52"/>
    <w:rsid w:val="00F8504E"/>
    <w:rsid w:val="00FA2A31"/>
    <w:rsid w:val="00FE2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CD5A"/>
  <w15:chartTrackingRefBased/>
  <w15:docId w15:val="{12B3646F-22F1-4D62-98C1-1196A748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2C40"/>
    <w:pPr>
      <w:ind w:left="720"/>
      <w:contextualSpacing/>
    </w:pPr>
  </w:style>
  <w:style w:type="paragraph" w:styleId="Intestazione">
    <w:name w:val="header"/>
    <w:basedOn w:val="Normale"/>
    <w:link w:val="IntestazioneCarattere"/>
    <w:uiPriority w:val="99"/>
    <w:unhideWhenUsed/>
    <w:rsid w:val="00942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2416"/>
  </w:style>
  <w:style w:type="paragraph" w:styleId="Pidipagina">
    <w:name w:val="footer"/>
    <w:basedOn w:val="Normale"/>
    <w:link w:val="PidipaginaCarattere"/>
    <w:uiPriority w:val="99"/>
    <w:unhideWhenUsed/>
    <w:rsid w:val="00942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0749">
      <w:bodyDiv w:val="1"/>
      <w:marLeft w:val="0"/>
      <w:marRight w:val="0"/>
      <w:marTop w:val="0"/>
      <w:marBottom w:val="0"/>
      <w:divBdr>
        <w:top w:val="none" w:sz="0" w:space="0" w:color="auto"/>
        <w:left w:val="none" w:sz="0" w:space="0" w:color="auto"/>
        <w:bottom w:val="none" w:sz="0" w:space="0" w:color="auto"/>
        <w:right w:val="none" w:sz="0" w:space="0" w:color="auto"/>
      </w:divBdr>
    </w:div>
    <w:div w:id="194317344">
      <w:bodyDiv w:val="1"/>
      <w:marLeft w:val="0"/>
      <w:marRight w:val="0"/>
      <w:marTop w:val="0"/>
      <w:marBottom w:val="0"/>
      <w:divBdr>
        <w:top w:val="none" w:sz="0" w:space="0" w:color="auto"/>
        <w:left w:val="none" w:sz="0" w:space="0" w:color="auto"/>
        <w:bottom w:val="none" w:sz="0" w:space="0" w:color="auto"/>
        <w:right w:val="none" w:sz="0" w:space="0" w:color="auto"/>
      </w:divBdr>
    </w:div>
    <w:div w:id="417756721">
      <w:bodyDiv w:val="1"/>
      <w:marLeft w:val="0"/>
      <w:marRight w:val="0"/>
      <w:marTop w:val="0"/>
      <w:marBottom w:val="0"/>
      <w:divBdr>
        <w:top w:val="none" w:sz="0" w:space="0" w:color="auto"/>
        <w:left w:val="none" w:sz="0" w:space="0" w:color="auto"/>
        <w:bottom w:val="none" w:sz="0" w:space="0" w:color="auto"/>
        <w:right w:val="none" w:sz="0" w:space="0" w:color="auto"/>
      </w:divBdr>
    </w:div>
    <w:div w:id="9076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01AC-790E-4B15-85DB-F507B6EA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Gioia Sgarlata</cp:lastModifiedBy>
  <cp:revision>2</cp:revision>
  <cp:lastPrinted>2025-01-26T10:31:00Z</cp:lastPrinted>
  <dcterms:created xsi:type="dcterms:W3CDTF">2025-03-01T10:54:00Z</dcterms:created>
  <dcterms:modified xsi:type="dcterms:W3CDTF">2025-03-01T10:54:00Z</dcterms:modified>
</cp:coreProperties>
</file>